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SCOPE &amp; DELIVERABLES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PROJECT TIMELINE / PHASES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RESOURCE PLAN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Allocation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COMMUNICATION PLAN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Meeting /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RISK MANAGEMENT PLAN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300"/>
        <w:gridCol w:w="1300"/>
        <w:gridCol w:w="3100"/>
        <w:gridCol w:w="1500"/>
        <w:tblGridChange w:id="0">
          <w:tblGrid>
            <w:gridCol w:w="1800"/>
            <w:gridCol w:w="1300"/>
            <w:gridCol w:w="1300"/>
            <w:gridCol w:w="31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iRiZ0pdG5DRE43IPVqHkJNZ8A==">CgMxLjA4AHIhMWFrZW1pbEtaQzc5V0FnN1BPbkViUlYtd2FqQ3ZZQjk5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