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 / Component: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TECHNOLOGY STACK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1500"/>
        <w:gridCol w:w="3000"/>
        <w:tblGridChange w:id="0">
          <w:tblGrid>
            <w:gridCol w:w="2000"/>
            <w:gridCol w:w="2500"/>
            <w:gridCol w:w="15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SYSTEM COMPONENTS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000"/>
        <w:tblGridChange w:id="0">
          <w:tblGrid>
            <w:gridCol w:w="2500"/>
            <w:gridCol w:w="35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DATA MODEL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API SPECIFICATIONS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00"/>
        <w:gridCol w:w="2700"/>
        <w:gridCol w:w="3000"/>
        <w:tblGridChange w:id="0">
          <w:tblGrid>
            <w:gridCol w:w="2200"/>
            <w:gridCol w:w="1100"/>
            <w:gridCol w:w="27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Request /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6. 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fOAtYg29B1kHgh1IIPCqugDdgQ==">CgMxLjA4AHIhMVlzTTE2T1FiekFxMnhkendmMGgxU1dDS2hHc003V0NB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