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ARCHITECTURE DIAGRAM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COMPONENTS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000"/>
        <w:gridCol w:w="1800"/>
        <w:tblGridChange w:id="0">
          <w:tblGrid>
            <w:gridCol w:w="2000"/>
            <w:gridCol w:w="3200"/>
            <w:gridCol w:w="20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DATA FLOW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TECHNOLOGY STACK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SCALABILITY &amp;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7.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gJwtwIM6QiQ6ZAFvVJsR+Lg3A==">CgMxLjA4AHIhMVR6QzNBT0VSZ2ItcHhrcVh1OXEycHczOVdqSGxkMDdV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