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20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UI / UX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200"/>
        <w:gridCol w:w="1400"/>
        <w:gridCol w:w="1400"/>
        <w:gridCol w:w="1400"/>
        <w:gridCol w:w="2700"/>
        <w:tblGridChange w:id="0">
          <w:tblGrid>
            <w:gridCol w:w="900"/>
            <w:gridCol w:w="1200"/>
            <w:gridCol w:w="1400"/>
            <w:gridCol w:w="1400"/>
            <w:gridCol w:w="140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of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 Version: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Designer: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1. DESIGN OVERVIEW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2. DESIGN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3. SCREENS / WIREFRAMES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00"/>
        <w:gridCol w:w="3000"/>
        <w:tblGridChange w:id="0">
          <w:tblGrid>
            <w:gridCol w:w="2200"/>
            <w:gridCol w:w="38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Reference /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4. USER FLOW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5. STYLE GUIDE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00"/>
        <w:tblGridChange w:id="0">
          <w:tblGrid>
            <w:gridCol w:w="2500"/>
            <w:gridCol w:w="65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6. ACCESSIBILITY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B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Designer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F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450" w:right="14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Bdr>
        <w:top w:color="bfbfbf" w:space="4" w:sz="4" w:val="single"/>
      </w:pBdr>
      <w:tabs>
        <w:tab w:val="right" w:leader="none" w:pos="900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UNAI TECH PVT LTDPage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color w:val="595959"/>
        <w:sz w:val="18"/>
        <w:szCs w:val="18"/>
      </w:rPr>
      <w:pict>
        <v:shape id="WordPictureWatermark1" style="position:absolute;width:225.13779527559058pt;height:148.258792394477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color w:val="595959"/>
        <w:sz w:val="18"/>
        <w:szCs w:val="18"/>
      </w:rPr>
      <w:drawing>
        <wp:inline distB="114300" distT="114300" distL="114300" distR="114300">
          <wp:extent cx="1153354" cy="48870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3354" cy="4887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spacing w:after="120" w:lineRule="auto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Project Management Office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pBdr>
        <w:bottom w:color="1f3b73" w:space="4" w:sz="8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cKKXIPQLorjg92uBTOVXwgW/PQ==">CgMxLjA4AHIhMW01MDdPSzZnSXJRaGdIbEg2MERscmhPc3R6aGZoaHJl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