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UAT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UAT Round: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Owner: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UAT SUMMARY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TEST SCENARIOS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00"/>
        <w:gridCol w:w="1400"/>
        <w:gridCol w:w="2800"/>
        <w:tblGridChange w:id="0">
          <w:tblGrid>
            <w:gridCol w:w="1200"/>
            <w:gridCol w:w="3600"/>
            <w:gridCol w:w="14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ISSUES LOG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1400"/>
        <w:gridCol w:w="1400"/>
        <w:gridCol w:w="2000"/>
        <w:tblGridChange w:id="0">
          <w:tblGrid>
            <w:gridCol w:w="1000"/>
            <w:gridCol w:w="3200"/>
            <w:gridCol w:w="1400"/>
            <w:gridCol w:w="14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SIGN-OFF DECLARATION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>
        <w:color w:val="595959"/>
        <w:sz w:val="18"/>
        <w:szCs w:val="18"/>
      </w:rPr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ZopP3f+jX1t7W++nP6/prbxrg==">CgMxLjA4AHIhMXVtMEhCZld3cHdrWkJyNGNxbXJOMTJOeW1SdGFhLTRL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