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Preliminary Project Proposal</w:t>
      </w:r>
    </w:p>
    <w:p>
      <w:pPr>
        <w:jc w:val="center"/>
      </w:pPr>
      <w:r>
        <w:rPr>
          <w:i/>
        </w:rPr>
        <w:t>CISC7204 Data Science &amp; Data Visualization · Assignment 01 (Pair Work)</w:t>
        <w:br/>
        <w:t>Student: UN CHI KIT (mc65308) · Due 2026-09-20 11:00 pm</w:t>
      </w:r>
    </w:p>
    <w:p>
      <w:pPr>
        <w:pStyle w:val="Heading1"/>
      </w:pPr>
      <w:r>
        <w:t>1. Project Topic Name</w:t>
      </w:r>
    </w:p>
    <w:p>
      <w:r>
        <w:t>Money and Happiness in America: Does Income Buy Happiness? (1972–2024)</w:t>
      </w:r>
    </w:p>
    <w:p>
      <w:pPr>
        <w:pStyle w:val="Heading2"/>
      </w:pPr>
      <w:r>
        <w:t>Precisely written research question</w:t>
      </w:r>
    </w:p>
    <w:p>
      <w:r>
        <w:rPr>
          <w:b/>
        </w:rPr>
        <w:t>In the United States, are people with higher family income happier than people with lower family income — and did that income–happiness relationship, and overall happiness itself, change across the five decades from 1972 to 2024, even as the country grew roughly 2.5 times richer per person?</w:t>
      </w:r>
    </w:p>
    <w:p>
      <w:pPr>
        <w:pStyle w:val="Heading1"/>
      </w:pPr>
      <w:r>
        <w:t>2. Region and Domain Category</w:t>
      </w:r>
    </w:p>
    <w:p>
      <w:pPr>
        <w:pStyle w:val="ListBullet"/>
      </w:pPr>
      <w:r>
        <w:t>Region: United States (national sample of respondents, 1972–2024)</w:t>
      </w:r>
    </w:p>
    <w:p>
      <w:pPr>
        <w:pStyle w:val="ListBullet"/>
      </w:pPr>
      <w:r>
        <w:t>Domain category: Sociology / Economics — subjective well-being (happiness) and household income</w:t>
      </w:r>
    </w:p>
    <w:p>
      <w:pPr>
        <w:pStyle w:val="Heading1"/>
      </w:pPr>
      <w:r>
        <w:t>3. Datasets (at least two links)</w:t>
      </w:r>
    </w:p>
    <w:p>
      <w:r>
        <w:t>1. General Social Survey (GSS), 1972–2024 — self-reported happiness (HAPPY) and family income (REALINC). The analysis uses 18,749 valid responses across 9 survey years (1972, 1982, 1990, 2000, 2002, 2010, 2012, 2022, 2024).</w:t>
      </w:r>
    </w:p>
    <w:p>
      <w:pPr>
        <w:pStyle w:val="ListBullet"/>
      </w:pPr>
      <w:r>
        <w:t>Download page: https://gss.norc.org/Get-The-Data  (Stata/SPSS format; free, no registration)</w:t>
      </w:r>
    </w:p>
    <w:p>
      <w:pPr>
        <w:pStyle w:val="ListBullet"/>
      </w:pPr>
      <w:r>
        <w:t>Direct cumulative file: https://gss.norc.org/content/dam/gss/get-the-data/documents/stata/GSS_stata.zip</w:t>
      </w:r>
    </w:p>
    <w:p>
      <w:r>
        <w:t>2. World Bank — GDP per capita, United States (constant 2015 US$): national income anchor for the “richer over time” comparison.</w:t>
      </w:r>
    </w:p>
    <w:p>
      <w:pPr>
        <w:pStyle w:val="ListBullet"/>
      </w:pPr>
      <w:r>
        <w:t>https://data.worldbank.org/indicator/NY.GDP.PCAP.KD?locations=US</w:t>
      </w:r>
    </w:p>
    <w:p>
      <w:pPr>
        <w:pStyle w:val="Heading1"/>
      </w:pPr>
      <w:r>
        <w:t>4. Justification: how the visualization addresses the research question</w:t>
      </w:r>
    </w:p>
    <w:p>
      <w:r>
        <w:t>The GSS asks a random sample of Americans the same happiness question (“Taken all together, how would you say things are these days — would you say that you are very happy, pretty happy, or not too happy?”) in nearly every year since 1972, together with detailed family-income data. This makes it possible to test both halves of the question rigorously. Ranking respondents into income quintiles within each survey year (to handle GSS’s changing income deflators across releases) and pooling 1972–2024 yields a highly significant income gradient: the share saying “very happy” rises monotonically from 18.4% (poorest quintile) to 35.9% (richest), with χ²(8) = 721, p ≈ 2.4×10⁻¹⁵⁰, odds ratio 2.48 (95% CI 2.23–2.75), and the effect survives controls for age, sex and education in 2024 (p ≈ 5.7×10⁻¹⁹).</w:t>
      </w:r>
    </w:p>
    <w:p>
      <w:r>
        <w:t>The time dimension tests the classic “Easterlin paradox”: over the same 52 years, US GDP per capita grew about 2.5-fold, yet the happiness distribution did not improve — it was statistically flat from 1972 to 2012 and declined after 2022, with the caveat that the GSS changed its survey mode in 2022. The interactive visualization combines a pooled-gradient chart, a dual-axis time series of happiness versus GDP per capita (with a toggle that excludes the mode-changed 2022–24 surveys), a decade-by-decade rich–poor gap chart, and a full significance metric table — so a reader can see both the strong within-year association and the absent long-run gain, together with the caveats, rather than being told.</w:t>
      </w:r>
    </w:p>
    <w:p>
      <w:pPr>
        <w:pStyle w:val="Heading1"/>
      </w:pPr>
      <w:r>
        <w:t>5. Project Purpose</w:t>
      </w:r>
    </w:p>
    <w:p>
      <w:pPr>
        <w:pStyle w:val="Heading2"/>
      </w:pPr>
      <w:r>
        <w:t>Outcomes</w:t>
      </w:r>
    </w:p>
    <w:p>
      <w:r>
        <w:t>This project connects to the course learning outcomes on importing real datasets, cleaning messy survey / statistical-software data, and producing statistically defensible data visualizations. It demonstrates a complete data-science workflow — raw data → wrangling → statistical testing → interactive results page — and is relevant to future social-science and data-analysis study or career work.</w:t>
      </w:r>
    </w:p>
    <w:p>
      <w:pPr>
        <w:pStyle w:val="Heading2"/>
      </w:pPr>
      <w:r>
        <w:t>Skills</w:t>
      </w:r>
    </w:p>
    <w:p>
      <w:r>
        <w:t>Python 3 data wrangling (pandas), statistical testing and effect sizes (χ², Spearman, OLS, Cohen’s d, odds ratios, bootstrap confidence intervals), and interactive visualization (Plotly).</w:t>
      </w:r>
    </w:p>
    <w:p>
      <w:pPr>
        <w:pStyle w:val="Heading2"/>
      </w:pPr>
      <w:r>
        <w:t>Knowledge</w:t>
      </w:r>
    </w:p>
    <w:p>
      <w:r>
        <w:t>Survey-data analysis, the income–well-being (Easterlin) literature, and practical handling of real-data problems: missing values, coarse income bands, survey-mode changes, and ecological/causal inference cautions.</w:t>
      </w:r>
    </w:p>
    <w:p>
      <w:pPr>
        <w:pStyle w:val="Heading1"/>
      </w:pPr>
      <w:r>
        <w:t>6. Project Tasks (steps and deliverables)</w:t>
      </w:r>
    </w:p>
    <w:p>
      <w:pPr>
        <w:pStyle w:val="ListNumber"/>
      </w:pPr>
      <w:r>
        <w:t>Download and clean GSS cumulative data (1972–2024); keep valid happiness and family-income responses; code missing values.</w:t>
      </w:r>
    </w:p>
    <w:p>
      <w:pPr>
        <w:pStyle w:val="ListNumber"/>
      </w:pPr>
      <w:r>
        <w:t>Rank income within each survey year into quintiles (handles deflator-base changes across GSS releases).</w:t>
      </w:r>
    </w:p>
    <w:p>
      <w:pPr>
        <w:pStyle w:val="ListNumber"/>
      </w:pPr>
      <w:r>
        <w:t>Test cross-sectional significance: χ², Spearman, OLS with age/sex/education controls; compute effect sizes and 95% confidence intervals.</w:t>
      </w:r>
    </w:p>
    <w:p>
      <w:pPr>
        <w:pStyle w:val="ListNumber"/>
      </w:pPr>
      <w:r>
        <w:t>Test the time trend: decade tables, era χ² tests, per-decade gradient slopes, and the GDP-per-capita overlay (World Bank).</w:t>
      </w:r>
    </w:p>
    <w:p>
      <w:pPr>
        <w:pStyle w:val="ListNumber"/>
      </w:pPr>
      <w:r>
        <w:t>Produce deliverables: (a) four static figures (PNG); (b) an interactive HTML results page; (c) a Jupyter notebook (Python 3) reproducing every result from the raw datasets.</w:t>
      </w:r>
    </w:p>
    <w:p>
      <w:pPr>
        <w:pStyle w:val="Heading1"/>
      </w:pPr>
      <w:r>
        <w:t>7. Project Criteria for Success</w:t>
      </w:r>
    </w:p>
    <w:p>
      <w:r>
        <w:t>A successful product lets the reader (1) see the significant income–happiness gradient with effect sizes and confidence intervals, (2) see that national happiness did not rise while GDP per capita rose 2.5×, and (3) understand the caveats (mode change in 2022+, coarse income bands, association ≠ causation) directly from the page — a final visual that tells the story with data collected, analyzed and interpreted.</w:t>
      </w:r>
    </w:p>
    <w:p>
      <w:r>
        <w:t>Deliverables checklist:</w:t>
      </w:r>
    </w:p>
    <w:p>
      <w:pPr>
        <w:pStyle w:val="ListBullet"/>
      </w:pPr>
      <w:r>
        <w:t>gss_results.html — interactive page (gradient chart, Easterlin time series with mode-exclusion toggle, decade gap chart, 2024 composition chart, significance metric table)</w:t>
      </w:r>
    </w:p>
    <w:p>
      <w:pPr>
        <w:pStyle w:val="ListBullet"/>
      </w:pPr>
      <w:r>
        <w:t>Four publication-quality figures (gss_viz/f1–f4.png)</w:t>
      </w:r>
    </w:p>
    <w:p>
      <w:pPr>
        <w:pStyle w:val="ListBullet"/>
      </w:pPr>
      <w:r>
        <w:t>Jupyter notebook with Python 3 code reproducing all numbers from the raw datasets</w:t>
      </w:r>
    </w:p>
    <w:p>
      <w:pPr>
        <w:pStyle w:val="ListBullet"/>
      </w:pPr>
      <w:r>
        <w:t>1–2 paragraph written justification of how the visualization answers the research question</w:t>
      </w:r>
    </w:p>
    <w:p>
      <w:r>
        <w:t>Quality criteria: every claim in the write-up carries a test statistic or confidence interval; all numbers are reproducible from the notebook; no causal wording anywhere (association only, caveats explicitly stated).</w:t>
      </w:r>
    </w:p>
    <w:p>
      <w:pPr>
        <w:pStyle w:val="Heading1"/>
      </w:pPr>
      <w:r>
        <w:t>8. Project Collaboration (team of 2)</w:t>
      </w:r>
    </w:p>
    <w:p>
      <w:pPr>
        <w:pStyle w:val="Heading2"/>
      </w:pPr>
      <w:r>
        <w:t>Division of work</w:t>
      </w:r>
    </w:p>
    <w:p>
      <w:pPr>
        <w:pStyle w:val="ListBullet"/>
      </w:pPr>
      <w:r>
        <w:t>[Student A, ID]: dataset download and cleaning, statistical testing, Jupyter notebook</w:t>
      </w:r>
    </w:p>
    <w:p>
      <w:pPr>
        <w:pStyle w:val="ListBullet"/>
      </w:pPr>
      <w:r>
        <w:t>[Student B, ID]: visualization design, interactive page, written justification</w:t>
      </w:r>
    </w:p>
    <w:p>
      <w:pPr>
        <w:pStyle w:val="ListBullet"/>
      </w:pPr>
      <w:r>
        <w:t>Both members review each other’s output before submission.</w:t>
      </w:r>
    </w:p>
    <w:p>
      <w:pPr>
        <w:pStyle w:val="Heading2"/>
      </w:pPr>
      <w:r>
        <w:t>Ground rules</w:t>
      </w:r>
    </w:p>
    <w:p>
      <w:pPr>
        <w:pStyle w:val="ListBullet"/>
      </w:pPr>
      <w:r>
        <w:t>Weekly progress check; all code and data shared in the pair’s repository from day one.</w:t>
      </w:r>
    </w:p>
    <w:p>
      <w:pPr>
        <w:pStyle w:val="ListBullet"/>
      </w:pPr>
      <w:r>
        <w:t>The research question is agreed by both members before any analysis begins.</w:t>
      </w:r>
    </w:p>
    <w:p>
      <w:pPr>
        <w:pStyle w:val="ListBullet"/>
      </w:pPr>
      <w:r>
        <w:t>Each member submits individually with their own Student ID in the file name; no submission without the partner’s reviewed version.</w:t>
      </w:r>
    </w:p>
    <w:p>
      <w:pPr>
        <w:pStyle w:val="Heading2"/>
      </w:pPr>
      <w:r>
        <w:t>Group structure</w:t>
      </w:r>
    </w:p>
    <w:p>
      <w:pPr>
        <w:pStyle w:val="ListBullet"/>
      </w:pPr>
      <w:r>
        <w:t>Project coordinator — [A]</w:t>
      </w:r>
    </w:p>
    <w:p>
      <w:pPr>
        <w:pStyle w:val="ListBullet"/>
      </w:pPr>
      <w:r>
        <w:t>Project scribe — [B]</w:t>
      </w:r>
    </w:p>
    <w:p>
      <w:pPr>
        <w:pStyle w:val="ListBullet"/>
      </w:pPr>
      <w:r>
        <w:t>Project progress tracker — [A]</w:t>
      </w:r>
    </w:p>
    <w:p>
      <w:pPr>
        <w:pStyle w:val="ListBullet"/>
      </w:pPr>
      <w:r>
        <w:t>Project liaison —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