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id w:val="-1140490871"/>
        <w:docPartObj>
          <w:docPartGallery w:val="Table of Contents"/>
          <w:docPartUnique/>
        </w:docPartObj>
      </w:sdtPr>
      <w:sdtEndPr>
        <w:rPr>
          <w:rFonts w:ascii="Times New Roman" w:eastAsiaTheme="minorHAnsi" w:hAnsi="Times New Roman" w:cstheme="minorBidi"/>
          <w:bCs/>
          <w:noProof/>
          <w:color w:val="auto"/>
          <w:sz w:val="24"/>
          <w:szCs w:val="22"/>
        </w:rPr>
      </w:sdtEndPr>
      <w:sdtContent>
        <w:p w14:paraId="40E759E7" w14:textId="78688D57" w:rsidR="00C313DC" w:rsidRDefault="00C313DC">
          <w:pPr>
            <w:pStyle w:val="TOCHeading"/>
          </w:pPr>
          <w:r>
            <w:t>Contents</w:t>
          </w:r>
        </w:p>
        <w:p w14:paraId="033B2E07" w14:textId="3D814454" w:rsidR="00C313DC"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392870" w:history="1">
            <w:r w:rsidRPr="00A57BC0">
              <w:rPr>
                <w:rStyle w:val="Hyperlink"/>
                <w:noProof/>
              </w:rPr>
              <w:t>Overall System Architecture</w:t>
            </w:r>
            <w:r>
              <w:rPr>
                <w:noProof/>
                <w:webHidden/>
              </w:rPr>
              <w:tab/>
            </w:r>
            <w:r>
              <w:rPr>
                <w:noProof/>
                <w:webHidden/>
              </w:rPr>
              <w:fldChar w:fldCharType="begin"/>
            </w:r>
            <w:r>
              <w:rPr>
                <w:noProof/>
                <w:webHidden/>
              </w:rPr>
              <w:instrText xml:space="preserve"> PAGEREF _Toc1392870 \h </w:instrText>
            </w:r>
            <w:r>
              <w:rPr>
                <w:noProof/>
                <w:webHidden/>
              </w:rPr>
            </w:r>
            <w:r>
              <w:rPr>
                <w:noProof/>
                <w:webHidden/>
              </w:rPr>
              <w:fldChar w:fldCharType="separate"/>
            </w:r>
            <w:r>
              <w:rPr>
                <w:noProof/>
                <w:webHidden/>
              </w:rPr>
              <w:t>3</w:t>
            </w:r>
            <w:r>
              <w:rPr>
                <w:noProof/>
                <w:webHidden/>
              </w:rPr>
              <w:fldChar w:fldCharType="end"/>
            </w:r>
          </w:hyperlink>
        </w:p>
        <w:p w14:paraId="0670D261" w14:textId="3262614A"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392870"/>
      <w:r>
        <w:lastRenderedPageBreak/>
        <w:t>Overall System Architecture</w:t>
      </w:r>
      <w:bookmarkEnd w:id="0"/>
    </w:p>
    <w:p w14:paraId="6ACFB8EF" w14:textId="77777777"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 hardware at a very low cost and low weight.  For example, the Raspberry Pi (RPi) and BeagleBone Enhanced (BBE) single-board computers (SBCs) are both about the size of a credit card and weigh less than a typical smartphone.  Both are fully featured Linux computers, and the BBE boasts a gigahertz processor with 2 embedded programmable real-time units (PRUs) along with an onboard barometer and 6-axis accelerometer.</w:t>
      </w:r>
    </w:p>
    <w:p w14:paraId="303E3975" w14:textId="77777777" w:rsidR="00F55774" w:rsidRDefault="00BD5BBB" w:rsidP="00F02656">
      <w:r>
        <w:t xml:space="preserve">Our responsibilities include active management of the engine and </w:t>
      </w:r>
      <w:proofErr w:type="gramStart"/>
      <w:r>
        <w:t>it’s</w:t>
      </w:r>
      <w:proofErr w:type="gramEnd"/>
      <w:r>
        <w:t xml:space="preserve"> systems, data acquisition, telemetry, abort systems, and recovery device deployment.  </w:t>
      </w:r>
      <w:r w:rsidR="002E2694">
        <w:t xml:space="preserve">Our rocket will not be using any form of guidance, navigation, and control (GNC)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r>
        <w:t>Electronics and Altitude Monitoring</w:t>
      </w:r>
    </w:p>
    <w:p w14:paraId="16E2B4F3" w14:textId="15055F94" w:rsidR="00F02656" w:rsidRPr="00F02656" w:rsidRDefault="003051CC" w:rsidP="006A1E42">
      <w:r>
        <w:t>While we’re still in the research phase of our design, we have several options being considered for</w:t>
      </w:r>
      <w:r w:rsidR="00DC77AD">
        <w:t xml:space="preserve"> data acquisition.  </w:t>
      </w:r>
      <w:r w:rsidR="006A1E42">
        <w:t xml:space="preserve">The obvious solution, </w:t>
      </w:r>
      <w:r w:rsidR="0048636A">
        <w:t>the global positioning system (GPS)</w:t>
      </w:r>
      <w:r w:rsidR="006A1E42">
        <w:t xml:space="preserve">, has some not-so-obvious problems due to U.S. export regulations, specifically </w:t>
      </w:r>
      <w:proofErr w:type="spellStart"/>
      <w:r w:rsidR="006A1E42">
        <w:t>CoCom</w:t>
      </w:r>
      <w:proofErr w:type="spellEnd"/>
      <w:r w:rsidR="006A1E42">
        <w:t xml:space="preserve"> (Coordinating Committee for Multilateral Export Controls), a program that restricts </w:t>
      </w:r>
      <w:r w:rsidR="00164480">
        <w:t xml:space="preserve">GPS output </w:t>
      </w:r>
      <w:r w:rsidR="0048636A">
        <w:t xml:space="preserve">to below 1000 knots and 18,000 meters.  </w:t>
      </w:r>
      <w:bookmarkStart w:id="1" w:name="_GoBack"/>
      <w:bookmarkEnd w:id="1"/>
    </w:p>
    <w:sectPr w:rsidR="00F02656" w:rsidRPr="00F0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164480"/>
    <w:rsid w:val="001A1ABA"/>
    <w:rsid w:val="001D28B0"/>
    <w:rsid w:val="002E13B7"/>
    <w:rsid w:val="002E2694"/>
    <w:rsid w:val="003051CC"/>
    <w:rsid w:val="0048636A"/>
    <w:rsid w:val="006A1E42"/>
    <w:rsid w:val="00AC00D6"/>
    <w:rsid w:val="00BD5BBB"/>
    <w:rsid w:val="00C313DC"/>
    <w:rsid w:val="00D201E8"/>
    <w:rsid w:val="00DC77AD"/>
    <w:rsid w:val="00ED2605"/>
    <w:rsid w:val="00F02656"/>
    <w:rsid w:val="00F55774"/>
    <w:rsid w:val="00F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2E13B7"/>
    <w:pPr>
      <w:keepNext/>
      <w:keepLines/>
      <w:spacing w:before="160" w:after="120" w:line="240" w:lineRule="auto"/>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semiHidden/>
    <w:rsid w:val="002E13B7"/>
    <w:rPr>
      <w:rFonts w:ascii="Times New Roman" w:eastAsiaTheme="majorEastAsia" w:hAnsi="Times New Roman" w:cstheme="majorBidi"/>
      <w:b/>
      <w:sz w:val="24"/>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2B800-3B1D-4386-852A-DE621072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dc:creator>
  <cp:keywords/>
  <dc:description/>
  <cp:lastModifiedBy>Misha Turnbull</cp:lastModifiedBy>
  <cp:revision>2</cp:revision>
  <dcterms:created xsi:type="dcterms:W3CDTF">2019-02-18T20:14:00Z</dcterms:created>
  <dcterms:modified xsi:type="dcterms:W3CDTF">2019-02-18T22:11:00Z</dcterms:modified>
</cp:coreProperties>
</file>