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1.png" ContentType="image/png"/>
  <Override PartName="/word/media/rId35.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data</w:t>
      </w:r>
      <w:r>
        <w:t xml:space="preserve"> </w:t>
      </w:r>
      <w:r>
        <w:t xml:space="preserve">analysis</w:t>
      </w:r>
      <w:r>
        <w:t xml:space="preserve"> </w:t>
      </w:r>
      <w:r>
        <w:t xml:space="preserve">of</w:t>
      </w:r>
      <w:r>
        <w:t xml:space="preserve"> </w:t>
      </w:r>
      <w:r>
        <w:t xml:space="preserve">Lebanon</w:t>
      </w:r>
      <w:r>
        <w:t xml:space="preserve"> </w:t>
      </w:r>
      <w:r>
        <w:t xml:space="preserve">conflict</w:t>
      </w:r>
      <w:r>
        <w:t xml:space="preserve"> </w:t>
      </w:r>
      <w:r>
        <w:t xml:space="preserve">trends</w:t>
      </w:r>
    </w:p>
    <w:p>
      <w:pPr>
        <w:pStyle w:val="Author"/>
      </w:pPr>
      <w:r>
        <w:t xml:space="preserve">Sean</w:t>
      </w:r>
      <w:r>
        <w:t xml:space="preserve"> </w:t>
      </w:r>
      <w:r>
        <w:t xml:space="preserve">Ng,</w:t>
      </w:r>
      <w:r>
        <w:t xml:space="preserve"> </w:t>
      </w:r>
      <w:r>
        <w:t xml:space="preserve">Risk</w:t>
      </w:r>
      <w:r>
        <w:t xml:space="preserve"> </w:t>
      </w:r>
      <w:r>
        <w:t xml:space="preserve">Anticipation</w:t>
      </w:r>
      <w:r>
        <w:t xml:space="preserve"> </w:t>
      </w:r>
      <w:r>
        <w:t xml:space="preserve">Hub</w:t>
      </w:r>
    </w:p>
    <w:p>
      <w:pPr>
        <w:pStyle w:val="Date"/>
      </w:pPr>
      <w:r>
        <w:t xml:space="preserve">19</w:t>
      </w:r>
      <w:r>
        <w:t xml:space="preserve"> </w:t>
      </w:r>
      <w:r>
        <w:t xml:space="preserve">September</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Introduction</w:t>
      </w:r>
    </w:p>
    <w:p>
      <w:pPr>
        <w:pStyle w:val="FirstParagraph"/>
      </w:pPr>
      <w:r>
        <w:t xml:space="preserve">This is a primer on recent conflict in Lebanon, making use of the Armed Conflict Location and Event Data (ACLED). ACLED’s data collection in Lebanon began on 01 January 2016. UCDP might have more years of data (though fewer recorded events): that dataset will be evaluated later. This report contains data up to 13 September 2024. The most recent violence – the 2024 Lebanon pager explosions – have yet to be reflected in the ACLED dataset.</w:t>
      </w:r>
    </w:p>
    <w:p>
      <w:pPr>
        <w:pStyle w:val="BodyText"/>
      </w:pPr>
      <w:r>
        <w:t xml:space="preserve">The gif below shows a month-by-month progression of political conflict and violence in Lebanon, Israel, Palestine, Jordan and Syria from January 2023 to the present day. For at least the past two years, Lebanon seems far more influenced by the conflict in Palestine and Israel than conflict in Syria – there is hardly any cross-border violence and Lebanon largely borders Assad-held areas, though there are many Syrian conflict actors operating within Lebanon.</w:t>
      </w:r>
    </w:p>
    <w:p>
      <w:pPr>
        <w:pStyle w:val="BodyText"/>
      </w:pPr>
      <w:r>
        <w:t xml:space="preserve">However, the southern border of Lebanon with Israel has become a conflict hotspot, in the aftermath of October 7 2024. Let us briefly review the political conflict and violence, as recorded by ACLED.</w:t>
      </w:r>
    </w:p>
    <w:p>
      <w:pPr>
        <w:pStyle w:val="BodyText"/>
      </w:pPr>
    </w:p>
    <w:bookmarkEnd w:id="20"/>
    <w:bookmarkStart w:id="30" w:name="event-types-and-fatalities"/>
    <w:p>
      <w:pPr>
        <w:pStyle w:val="Heading2"/>
      </w:pPr>
      <w:r>
        <w:t xml:space="preserve">Event types and fatalities</w:t>
      </w:r>
    </w:p>
    <w:p>
      <w:pPr>
        <w:pStyle w:val="FirstParagraph"/>
      </w:pPr>
      <w:r>
        <w:t xml:space="preserve">The charts below are streamgraphs, where values over time – in the case below, quarterly conflict events between 2016 and 2024 – are represented by the area. Though there are negative values shown, the Y-axis values are absolute; however, using a streamgraph, as opposed to an area graph, makes spikes in violence (from elections, for instance) much more visible.</w:t>
      </w:r>
    </w:p>
    <w:p>
      <w:pPr>
        <w:pStyle w:val="BodyText"/>
      </w:pPr>
      <w:r>
        <w:t xml:space="preserve">From the chart below, sorted in order of number of</w:t>
      </w:r>
      <w:r>
        <w:t xml:space="preserve"> </w:t>
      </w:r>
      <w:r>
        <w:rPr>
          <w:bCs/>
          <w:b/>
        </w:rPr>
        <w:t xml:space="preserve">events</w:t>
      </w:r>
      <w:r>
        <w:t xml:space="preserve"> </w:t>
      </w:r>
      <w:r>
        <w:t xml:space="preserve">from political incidents per quarter, it seems that Lebanon is stuck in Israel and Palestine’s orbit, with each experiencing an upswing in violence in 2023, prior to the 7 October attacks. Prior to this, Lebanon had been had actually been in a period of stabilisation since 2019 and the overthrow of their then government. However, the current flavour of violence in Lebanon is very different from the October 17 revolution in 2019, looking more like a country at war.</w:t>
      </w:r>
    </w:p>
    <w:p>
      <w:pPr>
        <w:pStyle w:val="BodyText"/>
      </w:pPr>
    </w:p>
    <w:p>
      <w:pPr>
        <w:pStyle w:val="BodyText"/>
      </w:pPr>
      <w:r>
        <w:drawing>
          <wp:inline>
            <wp:extent cx="5334000" cy="3047999"/>
            <wp:effectExtent b="0" l="0" r="0" t="0"/>
            <wp:docPr descr="" title="" id="22" name="Picture"/>
            <a:graphic>
              <a:graphicData uri="http://schemas.openxmlformats.org/drawingml/2006/picture">
                <pic:pic>
                  <pic:nvPicPr>
                    <pic:cNvPr descr="word_lebanon_files/figure-docx/unnamed-chunk-1-1.png" id="23" name="Picture"/>
                    <pic:cNvPicPr>
                      <a:picLocks noChangeArrowheads="1" noChangeAspect="1"/>
                    </pic:cNvPicPr>
                  </pic:nvPicPr>
                  <pic:blipFill>
                    <a:blip r:embed="rId21"/>
                    <a:stretch>
                      <a:fillRect/>
                    </a:stretch>
                  </pic:blipFill>
                  <pic:spPr bwMode="auto">
                    <a:xfrm>
                      <a:off x="0" y="0"/>
                      <a:ext cx="5334000" cy="3047999"/>
                    </a:xfrm>
                    <a:prstGeom prst="rect">
                      <a:avLst/>
                    </a:prstGeom>
                    <a:noFill/>
                    <a:ln w="9525">
                      <a:noFill/>
                      <a:headEnd/>
                      <a:tailEnd/>
                    </a:ln>
                  </pic:spPr>
                </pic:pic>
              </a:graphicData>
            </a:graphic>
          </wp:inline>
        </w:drawing>
      </w:r>
    </w:p>
    <w:p>
      <w:pPr>
        <w:pStyle w:val="BodyText"/>
      </w:pPr>
    </w:p>
    <w:p>
      <w:pPr>
        <w:pStyle w:val="BodyText"/>
      </w:pPr>
      <w:r>
        <w:t xml:space="preserve">The streamgraphs below break down</w:t>
      </w:r>
      <w:r>
        <w:t xml:space="preserve"> </w:t>
      </w:r>
      <w:r>
        <w:rPr>
          <w:bCs/>
          <w:b/>
        </w:rPr>
        <w:t xml:space="preserve">fatalities</w:t>
      </w:r>
      <w:r>
        <w:t xml:space="preserve"> </w:t>
      </w:r>
      <w:r>
        <w:t xml:space="preserve">by event type.</w:t>
      </w:r>
    </w:p>
    <w:p>
      <w:pPr>
        <w:pStyle w:val="BodyText"/>
      </w:pPr>
      <w:r>
        <w:t xml:space="preserve">Violence in Syria has plateaued since 2018, though Syrian-linked actors are still present and active in Lebanon. In terms of fatalities from political incidents, Lebanon has been fairly quiet since the 2017 Hezbollah-Syrian Arab Army offensive against ISIL. Note that despite toppling their government in 2019, there was barely a uptick in conflict fatalities despite the large number of riots and protests.</w:t>
      </w:r>
    </w:p>
    <w:p>
      <w:pPr>
        <w:pStyle w:val="BodyText"/>
      </w:pPr>
      <w:r>
        <w:t xml:space="preserve">Iran and Jordan have seen a lessening of pressure on their governments since 7 October 2023. The Iranian government has been under tremendous pressure, fending off mass protest and civil disobedience movements every year.</w:t>
      </w:r>
    </w:p>
    <w:p>
      <w:pPr>
        <w:pStyle w:val="BodyText"/>
      </w:pPr>
    </w:p>
    <w:p>
      <w:pPr>
        <w:pStyle w:val="BodyText"/>
      </w:pPr>
      <w:r>
        <w:drawing>
          <wp:inline>
            <wp:extent cx="5334000" cy="3047999"/>
            <wp:effectExtent b="0" l="0" r="0" t="0"/>
            <wp:docPr descr="" title="" id="25" name="Picture"/>
            <a:graphic>
              <a:graphicData uri="http://schemas.openxmlformats.org/drawingml/2006/picture">
                <pic:pic>
                  <pic:nvPicPr>
                    <pic:cNvPr descr="word_lebanon_files/figure-docx/unnamed-chunk-2-1.png" id="26" name="Picture"/>
                    <pic:cNvPicPr>
                      <a:picLocks noChangeArrowheads="1" noChangeAspect="1"/>
                    </pic:cNvPicPr>
                  </pic:nvPicPr>
                  <pic:blipFill>
                    <a:blip r:embed="rId24"/>
                    <a:stretch>
                      <a:fillRect/>
                    </a:stretch>
                  </pic:blipFill>
                  <pic:spPr bwMode="auto">
                    <a:xfrm>
                      <a:off x="0" y="0"/>
                      <a:ext cx="5334000" cy="3047999"/>
                    </a:xfrm>
                    <a:prstGeom prst="rect">
                      <a:avLst/>
                    </a:prstGeom>
                    <a:noFill/>
                    <a:ln w="9525">
                      <a:noFill/>
                      <a:headEnd/>
                      <a:tailEnd/>
                    </a:ln>
                  </pic:spPr>
                </pic:pic>
              </a:graphicData>
            </a:graphic>
          </wp:inline>
        </w:drawing>
      </w:r>
    </w:p>
    <w:p>
      <w:pPr>
        <w:pStyle w:val="BodyText"/>
      </w:pPr>
    </w:p>
    <w:p>
      <w:pPr>
        <w:pStyle w:val="BodyText"/>
      </w:pPr>
      <w:r>
        <w:t xml:space="preserve">There was an escalation in tensions between Lebanon and Israel in 2023, prior to the October 7 attacks. But the pattern of violence in Lebanon is deeply changed, especially when compared to before October 7 2023.</w:t>
      </w:r>
    </w:p>
    <w:p>
      <w:pPr>
        <w:pStyle w:val="BodyText"/>
      </w:pPr>
      <w:r>
        <w:t xml:space="preserve">As the plot below shows, Lebanon had previously been more widely-plagued by Syrian-linked militias, but as mentioned, it currently seems to be much more heavily involved in the Israel-Palestine conflict.</w:t>
      </w:r>
    </w:p>
    <w:p>
      <w:pPr>
        <w:pStyle w:val="BodyText"/>
      </w:pPr>
    </w:p>
    <w:p>
      <w:pPr>
        <w:pStyle w:val="BodyText"/>
      </w:pPr>
      <w:r>
        <w:drawing>
          <wp:inline>
            <wp:extent cx="5334000" cy="2031999"/>
            <wp:effectExtent b="0" l="0" r="0" t="0"/>
            <wp:docPr descr="" title="" id="28" name="Picture"/>
            <a:graphic>
              <a:graphicData uri="http://schemas.openxmlformats.org/drawingml/2006/picture">
                <pic:pic>
                  <pic:nvPicPr>
                    <pic:cNvPr descr="word_lebanon_files/figure-docx/unnamed-chunk-3-1.png" id="29" name="Picture"/>
                    <pic:cNvPicPr>
                      <a:picLocks noChangeArrowheads="1" noChangeAspect="1"/>
                    </pic:cNvPicPr>
                  </pic:nvPicPr>
                  <pic:blipFill>
                    <a:blip r:embed="rId27"/>
                    <a:stretch>
                      <a:fillRect/>
                    </a:stretch>
                  </pic:blipFill>
                  <pic:spPr bwMode="auto">
                    <a:xfrm>
                      <a:off x="0" y="0"/>
                      <a:ext cx="5334000" cy="2031999"/>
                    </a:xfrm>
                    <a:prstGeom prst="rect">
                      <a:avLst/>
                    </a:prstGeom>
                    <a:noFill/>
                    <a:ln w="9525">
                      <a:noFill/>
                      <a:headEnd/>
                      <a:tailEnd/>
                    </a:ln>
                  </pic:spPr>
                </pic:pic>
              </a:graphicData>
            </a:graphic>
          </wp:inline>
        </w:drawing>
      </w:r>
    </w:p>
    <w:p>
      <w:pPr>
        <w:pStyle w:val="BodyText"/>
      </w:pPr>
    </w:p>
    <w:bookmarkEnd w:id="30"/>
    <w:bookmarkStart w:id="34" w:name="actors"/>
    <w:p>
      <w:pPr>
        <w:pStyle w:val="Heading2"/>
      </w:pPr>
      <w:r>
        <w:t xml:space="preserve">Actors</w:t>
      </w:r>
    </w:p>
    <w:p>
      <w:pPr>
        <w:pStyle w:val="FirstParagraph"/>
      </w:pPr>
      <w:r>
        <w:t xml:space="preserve">Below is a plot of the</w:t>
      </w:r>
      <w:r>
        <w:t xml:space="preserve"> </w:t>
      </w:r>
      <w:r>
        <w:t xml:space="preserve">“</w:t>
      </w:r>
      <w:r>
        <w:t xml:space="preserve">deadliest</w:t>
      </w:r>
      <w:r>
        <w:t xml:space="preserve">”</w:t>
      </w:r>
      <w:r>
        <w:t xml:space="preserve"> </w:t>
      </w:r>
      <w:r>
        <w:t xml:space="preserve">actors in Lebanon and amongst its neighbours (sorted in order of their mean annual fatalities). Actors plotted below are those involved in events associated with the highest number of fatalities. The x-axis is the estimate for the number of fatalities from each event an actor is involved in.</w:t>
      </w:r>
    </w:p>
    <w:p>
      <w:pPr>
        <w:pStyle w:val="BodyText"/>
      </w:pPr>
      <w:r>
        <w:t xml:space="preserve">Additionally, actors related to or originating from Israel or Palestine are highlighted in red, whilst the actors related to or originating from Syria are highlighted in gold. It would appear that Lebanon seems to be caught in the crosshairs of the two large regional conflicts, in line with conventional wisdom.</w:t>
      </w:r>
    </w:p>
    <w:p>
      <w:pPr>
        <w:pStyle w:val="BodyText"/>
      </w:pPr>
      <w:r>
        <w:t xml:space="preserve">As we have seen from the pre- and post-October 7 plots as well as from the streamgraphs above, Syria-related violence has largely been dormant since the 2018 offensive. Much of the recent violence is associated with Palestinian groups. It should be monitored if Syrian-related militias and armed groups take advantage of the current situation.</w:t>
      </w:r>
    </w:p>
    <w:p>
      <w:pPr>
        <w:pStyle w:val="BodyText"/>
      </w:pPr>
    </w:p>
    <w:p>
      <w:pPr>
        <w:pStyle w:val="BodyText"/>
      </w:pPr>
      <w:r>
        <w:drawing>
          <wp:inline>
            <wp:extent cx="5334000" cy="3810000"/>
            <wp:effectExtent b="0" l="0" r="0" t="0"/>
            <wp:docPr descr="" title="" id="32" name="Picture"/>
            <a:graphic>
              <a:graphicData uri="http://schemas.openxmlformats.org/drawingml/2006/picture">
                <pic:pic>
                  <pic:nvPicPr>
                    <pic:cNvPr descr="word_lebanon_files/figure-docx/unnamed-chunk-4-1.png" id="33" name="Picture"/>
                    <pic:cNvPicPr>
                      <a:picLocks noChangeArrowheads="1" noChangeAspect="1"/>
                    </pic:cNvPicPr>
                  </pic:nvPicPr>
                  <pic:blipFill>
                    <a:blip r:embed="rId31"/>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p>
    <w:p>
      <w:pPr>
        <w:pStyle w:val="BodyText"/>
      </w:pPr>
      <w:r>
        <w:t xml:space="preserve">Longer error bars typically indicate higher uncertainty around the estimate, in the case of ACLED data, this means that there are comparatively fewer events for these actors compared to those with short error bars.</w:t>
      </w:r>
    </w:p>
    <w:p>
      <w:pPr>
        <w:pStyle w:val="BodyText"/>
      </w:pPr>
    </w:p>
    <w:bookmarkEnd w:id="34"/>
    <w:bookmarkStart w:id="38" w:name="internally-displaced-persons"/>
    <w:p>
      <w:pPr>
        <w:pStyle w:val="Heading2"/>
      </w:pPr>
      <w:r>
        <w:t xml:space="preserve">Internally-displaced persons</w:t>
      </w:r>
    </w:p>
    <w:p>
      <w:pPr>
        <w:pStyle w:val="FirstParagraph"/>
      </w:pPr>
      <w:r>
        <w:drawing>
          <wp:inline>
            <wp:extent cx="5334000" cy="3047999"/>
            <wp:effectExtent b="0" l="0" r="0" t="0"/>
            <wp:docPr descr="" title="" id="36" name="Picture"/>
            <a:graphic>
              <a:graphicData uri="http://schemas.openxmlformats.org/drawingml/2006/picture">
                <pic:pic>
                  <pic:nvPicPr>
                    <pic:cNvPr descr="word_lebanon_files/figure-docx/unnamed-chunk-5-1.png" id="37" name="Picture"/>
                    <pic:cNvPicPr>
                      <a:picLocks noChangeArrowheads="1" noChangeAspect="1"/>
                    </pic:cNvPicPr>
                  </pic:nvPicPr>
                  <pic:blipFill>
                    <a:blip r:embed="rId35"/>
                    <a:stretch>
                      <a:fillRect/>
                    </a:stretch>
                  </pic:blipFill>
                  <pic:spPr bwMode="auto">
                    <a:xfrm>
                      <a:off x="0" y="0"/>
                      <a:ext cx="5334000" cy="3047999"/>
                    </a:xfrm>
                    <a:prstGeom prst="rect">
                      <a:avLst/>
                    </a:prstGeom>
                    <a:noFill/>
                    <a:ln w="9525">
                      <a:noFill/>
                      <a:headEnd/>
                      <a:tailEnd/>
                    </a:ln>
                  </pic:spPr>
                </pic:pic>
              </a:graphicData>
            </a:graphic>
          </wp:inline>
        </w:drawing>
      </w:r>
    </w:p>
    <w:p>
      <w:pPr>
        <w:pStyle w:val="BodyText"/>
      </w:pPr>
    </w:p>
    <w:p>
      <w:pPr>
        <w:pStyle w:val="BodyText"/>
      </w:pPr>
      <w:r>
        <w:t xml:space="preserve">IDPs in Lebanon are located in the largest cities and in the belt between Tyre and Sidon near the Southern border. This is, unfortunately, very close to the bulk of the current conflict. These areas are primarily experiencing explosions and remote violence: Al Nabatieh and South Governorates both border Israel and have experienced numerous artillery attacks and drone strikes:</w:t>
      </w:r>
    </w:p>
    <w:p>
      <w:pPr>
        <w:pStyle w:val="BodyText"/>
      </w:pPr>
    </w:p>
    <w:p>
      <w:pPr>
        <w:pStyle w:val="TableCaption"/>
      </w:pPr>
      <w:r>
        <w:t xml:space="preserve">Breakdown of post Oct 7 2023 Explosions and Remote violence</w:t>
      </w:r>
    </w:p>
    <w:tbl>
      <w:tblPr>
        <w:tblStyle w:val="Table"/>
        <w:tblW w:type="pct" w:w="4375"/>
        <w:tblLook w:firstRow="1" w:lastRow="0" w:firstColumn="0" w:lastColumn="0" w:noHBand="0" w:noVBand="0" w:val="0020"/>
        <w:jc w:val="start"/>
        <w:tblLayout w:type="fixed"/>
        <w:tblCaption w:val="Breakdown of post Oct 7 2023 Explosions and Remote violence"/>
      </w:tblPr>
      <w:tblGrid>
        <w:gridCol w:w="1870"/>
        <w:gridCol w:w="990"/>
        <w:gridCol w:w="1100"/>
        <w:gridCol w:w="1430"/>
        <w:gridCol w:w="1540"/>
      </w:tblGrid>
      <w:tr>
        <w:trPr>
          <w:tblHeader w:val="true"/>
        </w:trPr>
        <w:tc>
          <w:tcPr/>
          <w:p>
            <w:pPr>
              <w:pStyle w:val="Compact"/>
              <w:jc w:val="center"/>
            </w:pPr>
            <w:r>
              <w:t xml:space="preserve">governorate</w:t>
            </w:r>
          </w:p>
        </w:tc>
        <w:tc>
          <w:tcPr/>
          <w:p>
            <w:pPr>
              <w:pStyle w:val="Compact"/>
              <w:jc w:val="center"/>
            </w:pPr>
            <w:r>
              <w:t xml:space="preserve">events</w:t>
            </w:r>
          </w:p>
        </w:tc>
        <w:tc>
          <w:tcPr/>
          <w:p>
            <w:pPr>
              <w:pStyle w:val="Compact"/>
              <w:jc w:val="center"/>
            </w:pPr>
            <w:r>
              <w:t xml:space="preserve">%events</w:t>
            </w:r>
          </w:p>
        </w:tc>
        <w:tc>
          <w:tcPr/>
          <w:p>
            <w:pPr>
              <w:pStyle w:val="Compact"/>
              <w:jc w:val="center"/>
            </w:pPr>
            <w:r>
              <w:t xml:space="preserve">fatalities</w:t>
            </w:r>
          </w:p>
        </w:tc>
        <w:tc>
          <w:tcPr/>
          <w:p>
            <w:pPr>
              <w:pStyle w:val="Compact"/>
              <w:jc w:val="center"/>
            </w:pPr>
            <w:r>
              <w:t xml:space="preserve">%fatalities</w:t>
            </w:r>
          </w:p>
        </w:tc>
      </w:tr>
      <w:tr>
        <w:tc>
          <w:tcPr/>
          <w:p>
            <w:pPr>
              <w:pStyle w:val="Compact"/>
              <w:jc w:val="center"/>
            </w:pPr>
            <w:r>
              <w:t xml:space="preserve">Al Nabatieh</w:t>
            </w:r>
          </w:p>
        </w:tc>
        <w:tc>
          <w:tcPr/>
          <w:p>
            <w:pPr>
              <w:pStyle w:val="Compact"/>
              <w:jc w:val="center"/>
            </w:pPr>
            <w:r>
              <w:t xml:space="preserve">5159</w:t>
            </w:r>
          </w:p>
        </w:tc>
        <w:tc>
          <w:tcPr/>
          <w:p>
            <w:pPr>
              <w:pStyle w:val="Compact"/>
              <w:jc w:val="center"/>
            </w:pPr>
            <w:r>
              <w:t xml:space="preserve">66</w:t>
            </w:r>
          </w:p>
        </w:tc>
        <w:tc>
          <w:tcPr/>
          <w:p>
            <w:pPr>
              <w:pStyle w:val="Compact"/>
              <w:jc w:val="center"/>
            </w:pPr>
            <w:r>
              <w:t xml:space="preserve">473</w:t>
            </w:r>
          </w:p>
        </w:tc>
        <w:tc>
          <w:tcPr/>
          <w:p>
            <w:pPr>
              <w:pStyle w:val="Compact"/>
              <w:jc w:val="center"/>
            </w:pPr>
            <w:r>
              <w:t xml:space="preserve">69</w:t>
            </w:r>
          </w:p>
        </w:tc>
      </w:tr>
      <w:tr>
        <w:tc>
          <w:tcPr/>
          <w:p>
            <w:pPr>
              <w:pStyle w:val="Compact"/>
              <w:jc w:val="center"/>
            </w:pPr>
            <w:r>
              <w:t xml:space="preserve">South</w:t>
            </w:r>
          </w:p>
        </w:tc>
        <w:tc>
          <w:tcPr/>
          <w:p>
            <w:pPr>
              <w:pStyle w:val="Compact"/>
              <w:jc w:val="center"/>
            </w:pPr>
            <w:r>
              <w:t xml:space="preserve">2567</w:t>
            </w:r>
          </w:p>
        </w:tc>
        <w:tc>
          <w:tcPr/>
          <w:p>
            <w:pPr>
              <w:pStyle w:val="Compact"/>
              <w:jc w:val="center"/>
            </w:pPr>
            <w:r>
              <w:t xml:space="preserve">33</w:t>
            </w:r>
          </w:p>
        </w:tc>
        <w:tc>
          <w:tcPr/>
          <w:p>
            <w:pPr>
              <w:pStyle w:val="Compact"/>
              <w:jc w:val="center"/>
            </w:pPr>
            <w:r>
              <w:t xml:space="preserve">171</w:t>
            </w:r>
          </w:p>
        </w:tc>
        <w:tc>
          <w:tcPr/>
          <w:p>
            <w:pPr>
              <w:pStyle w:val="Compact"/>
              <w:jc w:val="center"/>
            </w:pPr>
            <w:r>
              <w:t xml:space="preserve">25</w:t>
            </w:r>
          </w:p>
        </w:tc>
      </w:tr>
      <w:tr>
        <w:tc>
          <w:tcPr/>
          <w:p>
            <w:pPr>
              <w:pStyle w:val="Compact"/>
              <w:jc w:val="center"/>
            </w:pPr>
            <w:r>
              <w:t xml:space="preserve">Baalbek-Hermel</w:t>
            </w:r>
          </w:p>
        </w:tc>
        <w:tc>
          <w:tcPr/>
          <w:p>
            <w:pPr>
              <w:pStyle w:val="Compact"/>
              <w:jc w:val="center"/>
            </w:pPr>
            <w:r>
              <w:t xml:space="preserve">55</w:t>
            </w:r>
          </w:p>
        </w:tc>
        <w:tc>
          <w:tcPr/>
          <w:p>
            <w:pPr>
              <w:pStyle w:val="Compact"/>
              <w:jc w:val="center"/>
            </w:pPr>
            <w:r>
              <w:t xml:space="preserve">1</w:t>
            </w:r>
          </w:p>
        </w:tc>
        <w:tc>
          <w:tcPr/>
          <w:p>
            <w:pPr>
              <w:pStyle w:val="Compact"/>
              <w:jc w:val="center"/>
            </w:pPr>
            <w:r>
              <w:t xml:space="preserve">18</w:t>
            </w:r>
          </w:p>
        </w:tc>
        <w:tc>
          <w:tcPr/>
          <w:p>
            <w:pPr>
              <w:pStyle w:val="Compact"/>
              <w:jc w:val="center"/>
            </w:pPr>
            <w:r>
              <w:t xml:space="preserve">3</w:t>
            </w:r>
          </w:p>
        </w:tc>
      </w:tr>
      <w:tr>
        <w:tc>
          <w:tcPr/>
          <w:p>
            <w:pPr>
              <w:pStyle w:val="Compact"/>
              <w:jc w:val="center"/>
            </w:pPr>
            <w:r>
              <w:t xml:space="preserve">Mount Lebanon</w:t>
            </w:r>
          </w:p>
        </w:tc>
        <w:tc>
          <w:tcPr/>
          <w:p>
            <w:pPr>
              <w:pStyle w:val="Compact"/>
              <w:jc w:val="center"/>
            </w:pPr>
            <w:r>
              <w:t xml:space="preserve">4</w:t>
            </w:r>
          </w:p>
        </w:tc>
        <w:tc>
          <w:tcPr/>
          <w:p>
            <w:pPr>
              <w:pStyle w:val="Compact"/>
              <w:jc w:val="center"/>
            </w:pPr>
            <w:r>
              <w:t xml:space="preserve">0</w:t>
            </w:r>
          </w:p>
        </w:tc>
        <w:tc>
          <w:tcPr/>
          <w:p>
            <w:pPr>
              <w:pStyle w:val="Compact"/>
              <w:jc w:val="center"/>
            </w:pPr>
            <w:r>
              <w:t xml:space="preserve">17</w:t>
            </w:r>
          </w:p>
        </w:tc>
        <w:tc>
          <w:tcPr/>
          <w:p>
            <w:pPr>
              <w:pStyle w:val="Compact"/>
              <w:jc w:val="center"/>
            </w:pPr>
            <w:r>
              <w:t xml:space="preserve">2</w:t>
            </w:r>
          </w:p>
        </w:tc>
      </w:tr>
      <w:tr>
        <w:tc>
          <w:tcPr/>
          <w:p>
            <w:pPr>
              <w:pStyle w:val="Compact"/>
              <w:jc w:val="center"/>
            </w:pPr>
            <w:r>
              <w:t xml:space="preserve">Bekaa</w:t>
            </w:r>
          </w:p>
        </w:tc>
        <w:tc>
          <w:tcPr/>
          <w:p>
            <w:pPr>
              <w:pStyle w:val="Compact"/>
              <w:jc w:val="center"/>
            </w:pPr>
            <w:r>
              <w:t xml:space="preserve">15</w:t>
            </w:r>
          </w:p>
        </w:tc>
        <w:tc>
          <w:tcPr/>
          <w:p>
            <w:pPr>
              <w:pStyle w:val="Compact"/>
              <w:jc w:val="center"/>
            </w:pPr>
            <w:r>
              <w:t xml:space="preserve">0</w:t>
            </w:r>
          </w:p>
        </w:tc>
        <w:tc>
          <w:tcPr/>
          <w:p>
            <w:pPr>
              <w:pStyle w:val="Compact"/>
              <w:jc w:val="center"/>
            </w:pPr>
            <w:r>
              <w:t xml:space="preserve">11</w:t>
            </w:r>
          </w:p>
        </w:tc>
        <w:tc>
          <w:tcPr/>
          <w:p>
            <w:pPr>
              <w:pStyle w:val="Compact"/>
              <w:jc w:val="center"/>
            </w:pPr>
            <w:r>
              <w:t xml:space="preserve">2</w:t>
            </w:r>
          </w:p>
        </w:tc>
      </w:tr>
      <w:tr>
        <w:tc>
          <w:tcPr/>
          <w:p>
            <w:pPr>
              <w:pStyle w:val="Compact"/>
              <w:jc w:val="center"/>
            </w:pPr>
            <w:r>
              <w:t xml:space="preserve">Akkar</w:t>
            </w:r>
          </w:p>
        </w:tc>
        <w:tc>
          <w:tcPr/>
          <w:p>
            <w:pPr>
              <w:pStyle w:val="Compact"/>
              <w:jc w:val="center"/>
            </w:pPr>
            <w:r>
              <w:t xml:space="preserve">2</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North</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bl>
    <w:p>
      <w:pPr>
        <w:pStyle w:val="BodyText"/>
      </w:pPr>
    </w:p>
    <w:p>
      <w:pPr>
        <w:pStyle w:val="BodyText"/>
      </w:pPr>
      <w:r>
        <w:t xml:space="preserve">The carrying capacities of towns and cities in Southern Lebanon need to be more closely examined. Infrastructure and housing stock assessments are recommended for towns and cities in this area, to evaluate how ready these areas are to deal with additional displacement and identify priorities for recovery and reconstruction.</w:t>
      </w:r>
    </w:p>
    <w:p>
      <w:pPr>
        <w:pStyle w:val="BodyText"/>
      </w:pPr>
    </w:p>
    <w:bookmarkEnd w:id="38"/>
    <w:bookmarkStart w:id="45" w:name="forecasts"/>
    <w:p>
      <w:pPr>
        <w:pStyle w:val="Heading2"/>
      </w:pPr>
      <w:r>
        <w:t xml:space="preserve">Forecasts</w:t>
      </w:r>
    </w:p>
    <w:p>
      <w:pPr>
        <w:pStyle w:val="FirstParagraph"/>
      </w:pPr>
      <w:r>
        <w:t xml:space="preserve">Below are the three-, six- and twelve-month aggregate forecast for Lebanon and its neighbouring countries. Higher number or darker colours indicate higher levels of conflict.</w:t>
      </w:r>
    </w:p>
    <w:p>
      <w:pPr>
        <w:pStyle w:val="BodyText"/>
      </w:pPr>
      <w:r>
        <w:t xml:space="preserve">The RAH aggregate – which has factored in ACLED, UCDP, VIEWS and CFB forecasts – predicts a relatively high level of violence in Lebanon, but still lower than Israel, Palestine and Syria. The forecasts also expect conflict to lessen within 12 months.</w:t>
      </w:r>
    </w:p>
    <w:p>
      <w:pPr>
        <w:pStyle w:val="BodyText"/>
      </w:pPr>
    </w:p>
    <w:p>
      <w:pPr>
        <w:pStyle w:val="BodyText"/>
      </w:pPr>
      <w:r>
        <w:drawing>
          <wp:inline>
            <wp:extent cx="5334000" cy="2031999"/>
            <wp:effectExtent b="0" l="0" r="0" t="0"/>
            <wp:docPr descr="" title="" id="40" name="Picture"/>
            <a:graphic>
              <a:graphicData uri="http://schemas.openxmlformats.org/drawingml/2006/picture">
                <pic:pic>
                  <pic:nvPicPr>
                    <pic:cNvPr descr="word_lebanon_files/figure-docx/unnamed-chunk-7-1.png" id="41" name="Picture"/>
                    <pic:cNvPicPr>
                      <a:picLocks noChangeArrowheads="1" noChangeAspect="1"/>
                    </pic:cNvPicPr>
                  </pic:nvPicPr>
                  <pic:blipFill>
                    <a:blip r:embed="rId39"/>
                    <a:stretch>
                      <a:fillRect/>
                    </a:stretch>
                  </pic:blipFill>
                  <pic:spPr bwMode="auto">
                    <a:xfrm>
                      <a:off x="0" y="0"/>
                      <a:ext cx="5334000" cy="2031999"/>
                    </a:xfrm>
                    <a:prstGeom prst="rect">
                      <a:avLst/>
                    </a:prstGeom>
                    <a:noFill/>
                    <a:ln w="9525">
                      <a:noFill/>
                      <a:headEnd/>
                      <a:tailEnd/>
                    </a:ln>
                  </pic:spPr>
                </pic:pic>
              </a:graphicData>
            </a:graphic>
          </wp:inline>
        </w:drawing>
      </w:r>
      <w:r>
        <w:t xml:space="preserve"> </w:t>
      </w:r>
    </w:p>
    <w:p>
      <w:pPr>
        <w:pStyle w:val="BodyText"/>
      </w:pPr>
      <w:r>
        <w:t xml:space="preserve">Of note, when viewing the individual three-month forecasts below, is the elevated risk of Explosions and Remote Violence in Lebanon. This is in line with what we have observed in earlier plots at the border with Israel. Explosive remnants of war (ERW) expertise will also be sorely needed.</w:t>
      </w:r>
    </w:p>
    <w:p>
      <w:pPr>
        <w:pStyle w:val="BodyText"/>
      </w:pPr>
      <w:r>
        <w:t xml:space="preserve">My current read on these forecasts is that if the conflict with Israel expands beyond being primarily Explosions and Remote Violence, for instance, a ground invasion, we will need to redo these forecasts. Currently, the consensus for these forecasts seem to be de-escalation within 12 months.</w:t>
      </w:r>
    </w:p>
    <w:p>
      <w:pPr>
        <w:pStyle w:val="BodyText"/>
      </w:pPr>
    </w:p>
    <w:p>
      <w:pPr>
        <w:pStyle w:val="BodyText"/>
      </w:pPr>
      <w:r>
        <w:drawing>
          <wp:inline>
            <wp:extent cx="5334000" cy="2031999"/>
            <wp:effectExtent b="0" l="0" r="0" t="0"/>
            <wp:docPr descr="" title="" id="43" name="Picture"/>
            <a:graphic>
              <a:graphicData uri="http://schemas.openxmlformats.org/drawingml/2006/picture">
                <pic:pic>
                  <pic:nvPicPr>
                    <pic:cNvPr descr="word_lebanon_files/figure-docx/unnamed-chunk-8-1.png" id="44" name="Picture"/>
                    <pic:cNvPicPr>
                      <a:picLocks noChangeArrowheads="1" noChangeAspect="1"/>
                    </pic:cNvPicPr>
                  </pic:nvPicPr>
                  <pic:blipFill>
                    <a:blip r:embed="rId42"/>
                    <a:stretch>
                      <a:fillRect/>
                    </a:stretch>
                  </pic:blipFill>
                  <pic:spPr bwMode="auto">
                    <a:xfrm>
                      <a:off x="0" y="0"/>
                      <a:ext cx="5334000" cy="2031999"/>
                    </a:xfrm>
                    <a:prstGeom prst="rect">
                      <a:avLst/>
                    </a:prstGeom>
                    <a:noFill/>
                    <a:ln w="9525">
                      <a:noFill/>
                      <a:headEnd/>
                      <a:tailEnd/>
                    </a:ln>
                  </pic:spPr>
                </pic:pic>
              </a:graphicData>
            </a:graphic>
          </wp:inline>
        </w:drawing>
      </w:r>
    </w:p>
    <w:p>
      <w:pPr>
        <w:pStyle w:val="BodyText"/>
      </w:pP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 of Lebanon conflict trends</dc:title>
  <dc:creator>Sean Ng, Risk Anticipation Hub</dc:creator>
  <cp:keywords/>
  <dcterms:created xsi:type="dcterms:W3CDTF">2024-09-20T14:41:38Z</dcterms:created>
  <dcterms:modified xsi:type="dcterms:W3CDTF">2024-09-20T14:41:38Z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19 September 2024</vt:lpwstr>
  </property>
  <property fmtid="{D5CDD505-2E9C-101B-9397-08002B2CF9AE}" pid="4" name="output">
    <vt:lpwstr/>
  </property>
</Properties>
</file>