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4: Approaches, Methods and Tools for Strategic Innovation.</w:t>
      </w:r>
    </w:p>
    <w:p/>
    <w:p>
      <w:r>
        <w:t>In this chapter, we delve into the critical strategies that can transform how we implement sustainable energy systems. As the world faces the urgent need to shift towards cleaner, more equitable energy, understanding these approaches becomes essential.</w:t>
      </w:r>
    </w:p>
    <w:p/>
    <w:p>
      <w:r>
        <w:t>We’ll explore four key frameworks: the whole-of-society approach, gender mainstreaming, a human rights-based perspective, and an intersectional lens. Each offers a pathway to design, execute, and evaluate energy projects that are inclusive and effective.</w:t>
      </w:r>
    </w:p>
    <w:p/>
    <w:p>
      <w:r>
        <w:t>For example, adopting a whole-of-society approach means involving diverse stakeholders—governments, communities, private sectors—in decision-making. This fosters more resilient and accepted solutions. Gender mainstreaming ensures that gender considerations are integrated throughout every stage, recognizing that energy access often intersects with social inequalities.</w:t>
      </w:r>
    </w:p>
    <w:p/>
    <w:p>
      <w:r>
        <w:t>Meanwhile, a human rights-based approach shifts focus from merely providing energy to ensuring that access upholds fundamental rights, empowering marginalized groups. Lastly, an intersectional approach considers how overlapping social factors—like race, income, and geography—shape energy access and impacts, allowing for more targeted and just interventions.</w:t>
      </w:r>
    </w:p>
    <w:p/>
    <w:p>
      <w:r>
        <w:t>These approaches are vital because they can revolutionize project outcomes, address complex trade-offs like environmental impacts versus energy needs, and promote equitable, sustainable development.</w:t>
      </w:r>
    </w:p>
    <w:p/>
    <w:p>
      <w:r>
        <w:t>Throughout this chapter, you will learn how leveraging these strategies—alongside innovative methods and tools—can operationalize the energy transition, turning ambitious goals into tangible results. This knowledge is crucial for anyone involved in shaping the future of sustainable energy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