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Module 2: Energy Access and Inclusive Energy Services.</w:t>
      </w:r>
    </w:p>
    <w:p/>
    <w:p>
      <w:r>
        <w:t>Today, nearly 1.2 billion people worldwide still lack access to electricity—an essential foundation for health, education, and economic growth. While high-income regions have nearly achieved universal electricity access, many low- and middle-income areas, especially in rural and remote communities, continue to face significant gaps.</w:t>
      </w:r>
    </w:p>
    <w:p/>
    <w:p>
      <w:r>
        <w:t>A key distinction lies between energy access and inclusive energy services. Access refers simply to availability, but inclusion ensures that services are reliable, affordable, safe, and meet the diverse needs of all communities—no one is left behind. For example, over 2 billion people rely on polluting fuels for cooking, which causes severe health and gender equity issues. Transitioning to clean cooking solutions is crucial, yet progress remains slow, particularly in sub-Saharan Africa, where the access deficit is most concentrated.</w:t>
      </w:r>
    </w:p>
    <w:p/>
    <w:p>
      <w:r>
        <w:t>Inequalities deepen when we look closer. Rural areas, informal settlements, small island nations, and fragile or conflict-affected regions face unique barriers—lack of infrastructure, high costs, and limited investment. Urbanization can both improve and threaten equity, as informal settlements often fall outside formal energy networks, leaving vulnerable populations underserved.</w:t>
      </w:r>
    </w:p>
    <w:p/>
    <w:p>
      <w:r>
        <w:t>The challenge extends beyond electricity. Thermal comfort through heating and cooling, clean cooking, and refrigeration are essential components of energy services that impact health, productivity, and climate resilience. Despite global efforts, over 2 billion people still depend on polluting fuels, with health and social consequences that disproportionately affect women and children.</w:t>
      </w:r>
    </w:p>
    <w:p/>
    <w:p>
      <w:r>
        <w:t>Overcoming these barriers requires innovative solutions—off-grid renewable energy systems like solar mini-grids, clean cooking technologies, and climate-adapted heating. Financing mechanisms, such as microfinancing and pay-as-you-go models, are vital to make these solutions accessible and affordable for marginalized communities.</w:t>
      </w:r>
    </w:p>
    <w:p/>
    <w:p>
      <w:r>
        <w:t>Policy frameworks also play a critical role. Well-designed regulations, targeted subsidies, and partnerships across governments, private sector, and communities can accelerate progress. Digital tools—geospatial data, artificial intelligence, and blockchain—are transforming planning, management, and financing, making energy systems smarter, more inclusive, and resilient.</w:t>
      </w:r>
    </w:p>
    <w:p/>
    <w:p>
      <w:r>
        <w:t xml:space="preserve">In sum, achieving universal, inclusive energy access is a complex but attainable goal. It requires coordinated efforts that address technical, financial, social, and policy challenges—ensuring that no one is left in the dark. </w:t>
      </w:r>
    </w:p>
    <w:p/>
    <w:p>
      <w:r>
        <w:t>Let's explore these strategies in detail as we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