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Chapter 2: Current Status, Trends and Barriers to Energy Access.</w:t>
      </w:r>
    </w:p>
    <w:p/>
    <w:p>
      <w:r>
        <w:t>Today, we’ll explore the complex landscape of energy access around the world—where progress has been made, where gaps remain, and what challenges still hinder universal access to reliable, affordable energy.</w:t>
      </w:r>
    </w:p>
    <w:p/>
    <w:p>
      <w:r>
        <w:t>Globally, the disparities in energy access are profound. High-income regions have nearly achieved universal electricity coverage, yet many middle-income and emerging economies are still catching up. For instance, countries like India, Bangladesh, and Rwanda have made significant strides in extending electricity, demonstrating what strong policy, investment, and innovation can accomplish. However, the transition to clean cooking solutions lags behind, especially in rural areas—the places where energy poverty often perpetuates poverty itself.</w:t>
      </w:r>
    </w:p>
    <w:p/>
    <w:p>
      <w:r>
        <w:t>Deep inequalities persist within countries. Rural and remote communities frequently lack grid infrastructure, making traditional connections prohibitively expensive. Off-grid solutions, like solar microgrids, are vital to closing these gaps. Urban areas are generally better served, but rapid urbanization and informal settlements can create pockets of exclusion, leaving low-income residents behind despite overall citywide coverage.</w:t>
      </w:r>
    </w:p>
    <w:p/>
    <w:p>
      <w:r>
        <w:t>The challenge extends beyond electricity. Over 2 billion people still rely on polluting fuels for cooking, with severe health risks, especially to women and children. Access to clean cooking isn’t just a matter of technology—it requires supportive policies, finance, and community engagement. Similarly, thermal comfort through heating and cooling is becoming a crucial climate adaptation issue, particularly as extreme weather becomes more common.</w:t>
      </w:r>
    </w:p>
    <w:p/>
    <w:p>
      <w:r>
        <w:t>Barriers to achieving universal energy access are multifaceted. Insufficient infrastructure, supply disruptions, and skewed investments limit progress. Political, regulatory, and institutional obstacles, along with affordability issues, make it difficult for vulnerable populations to access and sustain energy services. Many communities face high upfront costs and ongoing expenses, which are often unaffordable given their economic circumstances.</w:t>
      </w:r>
    </w:p>
    <w:p/>
    <w:p>
      <w:r>
        <w:t>Measuring progress is also complex. Traditional metrics may overlook the quality, reliability, and affordability of services, masking deeper inequalities. Addressing these barriers requires a comprehensive approach—one that combines targeted investments, inclusive policies, and innovative technologies to ensure no one is left behind.</w:t>
      </w:r>
    </w:p>
    <w:p/>
    <w:p>
      <w:r>
        <w:t>In summary, while the world has made significant headway in expanding energy access, the journey is far from over. Deep-rooted disparities and systemic barriers continue to challenge efforts toward universal, sustainable, and equitable energy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