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3: Bridging the Energy Access Gap.</w:t>
      </w:r>
    </w:p>
    <w:p/>
    <w:p>
      <w:r>
        <w:t>Today, over a billion people still lack reliable access to electricity, and hundreds of millions rely on traditional biomass for cooking, which poses health and environmental risks. Achieving universal energy access is essential for sustainable development, economic growth, and social equity.</w:t>
      </w:r>
    </w:p>
    <w:p/>
    <w:p>
      <w:r>
        <w:t>This chapter explores how targeted strategies—ranging from innovative technological solutions to smart policy frameworks—can accelerate progress. For instance, off-grid renewable energy systems like solar mini-grids and solar home systems are proving effective in reaching underserved areas, supporting productive activities, and improving living standards.</w:t>
      </w:r>
    </w:p>
    <w:p/>
    <w:p>
      <w:r>
        <w:t>We’ll also examine the critical role of financing mechanisms, such as pay-as-you-go models and community-led investments, which make energy services affordable for the most vulnerable. Strong regulatory reforms and well-targeted subsidies are necessary to ensure inclusive and sustainable access, aligning energy development with broader social goals.</w:t>
      </w:r>
    </w:p>
    <w:p/>
    <w:p>
      <w:r>
        <w:t>Furthermore, digital innovations—including data-driven planning, artificial intelligence, and blockchain—are transforming how we map energy needs, manage resources, and empower communities. These tools enable smarter, more resilient energy systems, especially in remote regions.</w:t>
      </w:r>
    </w:p>
    <w:p/>
    <w:p>
      <w:r>
        <w:t>Throughout this chapter, you'll see that bridging the energy access gap isn’t just about infrastructure; it requires an integrated approach that considers social, technological, financial, and policy dimensions. Together, these efforts can ensure no one is left behind, paving the way toward a truly inclusive energy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