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Welcome to Module 3: Just Energy Transition.</w:t>
      </w:r>
    </w:p>
    <w:p/>
    <w:p>
      <w:r>
        <w:t>In this module, we explore how transitioning to renewable energy can be both environmentally sustainable and socially equitable. The shift from fossil fuels is driven by urgent climate goals, but it also presents complex social challenges. For example, the global move to renewable energy is unlike previous transitions because it’s motivated by the immediate need to reduce greenhouse gas emissions—this makes the pace faster and the stakes higher.</w:t>
      </w:r>
    </w:p>
    <w:p/>
    <w:p>
      <w:r>
        <w:t>A core principle here is fairness. Achieving a just energy transition means ensuring that vulnerable communities, workers, and marginalized groups are not left behind. It involves addressing deep-rooted inequalities and promoting social inclusion through participatory governance and equitable economic opportunities.</w:t>
      </w:r>
    </w:p>
    <w:p/>
    <w:p>
      <w:r>
        <w:t>Regions dependent on fossil fuel industries face particular risks. Without careful planning, a rapid shift could lead to job losses, land conflicts, or environmental degradation. For instance, land rights and water use are critical considerations in renewable projects—especially in the Global South—where insecure land tenure can lead to displacement or community resistance.</w:t>
      </w:r>
    </w:p>
    <w:p/>
    <w:p>
      <w:r>
        <w:t>Gender disparities also pose barriers to an inclusive transition. Women often face obstacles like wage gaps and limited leadership opportunities in the energy sector. Overcoming these barriers is essential for harnessing diverse talents and fostering innovation.</w:t>
      </w:r>
    </w:p>
    <w:p/>
    <w:p>
      <w:r>
        <w:t>Environmental concerns are integral too. Large-scale renewable projects must be managed carefully to minimize habitat disruption, water consumption, and ecological impacts. For example, while hydropower is a low-emission source, poorly planned dam projects can harm river ecosystems.</w:t>
      </w:r>
    </w:p>
    <w:p/>
    <w:p>
      <w:r>
        <w:t>Furthermore, the transition offers economic opportunities. Developing countries can leverage their mineral resources—such as lithium and rare earth elements—for higher-value processing and manufacturing, rather than just exporting raw materials. International cooperation and responsible extraction practices are crucial to ensuring these resources benefit local populations and support sustainable growth.</w:t>
      </w:r>
    </w:p>
    <w:p/>
    <w:p>
      <w:r>
        <w:t>Finally, governance plays a vital role. Inclusive policies, transparent partnerships, and community-led initiatives—like microgrids and local energy projects—are key to building resilient, equitable energy systems. The emerging concept of energy democracy emphasizes participatory decision-making, giving communities a voice in shaping their energy future.</w:t>
      </w:r>
    </w:p>
    <w:p/>
    <w:p>
      <w:r>
        <w:t>As we proceed through this module, you’ll learn about strategies to address these challenges, including policy frameworks, community engagement, and innovative financing mechanisms like specific partnerships aimed at supporting developing nations.</w:t>
      </w:r>
    </w:p>
    <w:p/>
    <w:p>
      <w:r>
        <w:t>Together, these approaches aim to ensure that the energy transition not only helps combat climate change but also promotes social justice, economic resilience, and environmental stewardship.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