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2: Ensuring a Just Transition for Workers and Affected Communities.</w:t>
      </w:r>
    </w:p>
    <w:p/>
    <w:p>
      <w:r>
        <w:t>As we shift toward renewable energy, one of the most critical challenges is ensuring that this transition is fair and equitable for everyone involved. Globally, renewable energy projects often encounter issues such as land displacement, labor rights violations, and unequal distribution of benefits. Respecting human rights must be central to these efforts, with proactive measures like the Free, Prior, and Informed Consent process—especially for indigenous communities—playing a vital role.</w:t>
      </w:r>
    </w:p>
    <w:p/>
    <w:p>
      <w:r>
        <w:t>Inclusive engagement is essential. When communities, particularly marginalized and indigenous groups, participate meaningfully in decision-making, projects gain trust and legitimacy. For example, in Colombia, indigenous-led governance is transforming the energy landscape, allowing communities to co-create solutions that honor cultural sovereignty and gender inclusion.</w:t>
      </w:r>
    </w:p>
    <w:p/>
    <w:p>
      <w:r>
        <w:t>In addition to human rights, we must consider the economic implications. The shift to renewable energy is expected to create millions of new jobs worldwide. However, regional disparities mean that job growth is often concentrated in developed areas, leaving developing regions behind. Addressing these inequalities requires targeted policies that support local capacity building and infrastructure development.</w:t>
      </w:r>
    </w:p>
    <w:p/>
    <w:p>
      <w:r>
        <w:t>Equally important is the need to support workers displaced from traditional energy sectors. Effective retraining and reskilling programs are crucial to equip workers with the skills needed for new green jobs. Countries like North Macedonia demonstrate how public-private partnerships can bridge skills gaps, ensuring a just transition for all.</w:t>
      </w:r>
    </w:p>
    <w:p/>
    <w:p>
      <w:r>
        <w:t>Gender disparities also remain a significant barrier. Women are underrepresented in energy sectors and face wage gaps and limited leadership opportunities. Promoting gender-sensitive policies, mentorship, and education can empower women and foster innovation.</w:t>
      </w:r>
    </w:p>
    <w:p/>
    <w:p>
      <w:r>
        <w:t>Finally, social safety nets, including targeted subsidies and energy affordability programs, help protect vulnerable populations from energy poverty during this transition. These measures not only stabilize communities but also ensure that the benefits of a sustainable energy future are shared equitably.</w:t>
      </w:r>
    </w:p>
    <w:p/>
    <w:p>
      <w:r>
        <w:t>As we proceed, we'll explore how these principles and strategies can be implemented effectively to support workers and communities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