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Chapter 4: Innovative Financial Instruments and Tools for Renewable Energy.</w:t>
      </w:r>
    </w:p>
    <w:p/>
    <w:p>
      <w:r>
        <w:t>In this chapter, we’ll explore how new financial mechanisms are accelerating the shift towards sustainable energy. As the global need for clean energy grows, so does the importance of innovative funding solutions that can bridge the gap between investment and impact.</w:t>
      </w:r>
    </w:p>
    <w:p/>
    <w:p>
      <w:r>
        <w:t>Did you know that thematic bonds—such as green, social, and sustainability bonds—are now channeling billions of dollars into projects aligned with climate and social goals? These bonds support everything from renewable energy infrastructure to social development programs, and their popularity continues to rise. Frameworks like the Green Bond Principles help ensure transparency and accountability, but challenges remain—such as high borrowing costs and greenwashing risks—that need strategic solutions.</w:t>
      </w:r>
    </w:p>
    <w:p/>
    <w:p>
      <w:r>
        <w:t>We’ll also examine debt swaps, specifically debt-for-energy swaps, which are transforming how developing countries finance their energy transitions. By reducing debt burdens, these swaps free up resources for renewable projects, enabling a shift away from fossil fuels. However, successful implementation depends on strong governance and international cooperation.</w:t>
      </w:r>
    </w:p>
    <w:p/>
    <w:p>
      <w:r>
        <w:t>Another powerful tool is carbon pricing—through taxes or emissions trading systems—that creates economic incentives for reducing greenhouse gases. These mechanisms are gaining momentum worldwide but face hurdles like limited coverage and market volatility. Effective design and verification are key to maximizing their potential.</w:t>
      </w:r>
    </w:p>
    <w:p/>
    <w:p>
      <w:r>
        <w:t>Looking ahead, emerging technologies like blockchain and digital platforms are revolutionizing energy finance. Blockchain enhances transparency and security, enabling real-time transaction tracking and peer-to-peer energy trading. Digital platforms democratize access to green investments, making renewable energy funding more inclusive. Meanwhile, artificial intelligence helps de-risk investments by providing accurate data and predictive insights, attracting more capital to sustainable projects.</w:t>
      </w:r>
    </w:p>
    <w:p/>
    <w:p>
      <w:r>
        <w:t>This chapter will provide a comprehensive overview of these innovative instruments and tools—highlighting their roles, challenges, and the pathways to strengthening their impact. Together, these financial innovations are critical to unlocking the investments needed for a just and sustainable energy transition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