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57AEB84" w:rsidP="4BA40696" w:rsidRDefault="757AEB84" w14:paraId="22D2EB15" w14:textId="68C30078">
      <w:pPr>
        <w:spacing w:before="240" w:beforeAutospacing="off" w:after="240" w:afterAutospacing="off"/>
      </w:pPr>
      <w:r w:rsidRPr="4BA40696" w:rsidR="757AEB8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Welcome to Chapter 4: Innovative Financial Instruments for Renewable Energy</w:t>
      </w:r>
    </w:p>
    <w:p w:rsidR="757AEB84" w:rsidP="4BA40696" w:rsidRDefault="757AEB84" w14:paraId="220E5254" w14:textId="1FC2EC66">
      <w:pPr>
        <w:spacing w:before="240" w:beforeAutospacing="off" w:after="240" w:afterAutospacing="off"/>
      </w:pPr>
      <w:r w:rsidRPr="4BA40696" w:rsidR="757AEB84">
        <w:rPr>
          <w:rFonts w:ascii="Cambria" w:hAnsi="Cambria" w:eastAsia="Cambria" w:cs="Cambria"/>
          <w:noProof w:val="0"/>
          <w:sz w:val="22"/>
          <w:szCs w:val="22"/>
          <w:lang w:val="en-US"/>
        </w:rPr>
        <w:t>Financing the energy transition demands mechanisms capable of mobilizing hundreds of billions annually. Innovative instruments are reshaping how capital flows into sustainable energy.</w:t>
      </w:r>
    </w:p>
    <w:p w:rsidR="757AEB84" w:rsidP="4BA40696" w:rsidRDefault="757AEB84" w14:paraId="3CABBBA1" w14:textId="79DC9D5C">
      <w:pPr>
        <w:spacing w:before="240" w:beforeAutospacing="off" w:after="240" w:afterAutospacing="off"/>
      </w:pPr>
      <w:r w:rsidRPr="4BA40696" w:rsidR="757AEB8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Thematic bonds</w:t>
      </w:r>
      <w:r w:rsidRPr="4BA40696" w:rsidR="757AEB84">
        <w:rPr>
          <w:rFonts w:ascii="Cambria" w:hAnsi="Cambria" w:eastAsia="Cambria" w:cs="Cambria"/>
          <w:noProof w:val="0"/>
          <w:sz w:val="22"/>
          <w:szCs w:val="22"/>
          <w:lang w:val="en-US"/>
        </w:rPr>
        <w:t>—green, social, and sustainability—direct funds to projects with measurable outcomes. Global green bond issuance surpassed USD 500 billion in 2022, with frameworks like the Green Bond Principles ensuring transparency and investor confidence.</w:t>
      </w:r>
    </w:p>
    <w:p w:rsidR="757AEB84" w:rsidP="4BA40696" w:rsidRDefault="757AEB84" w14:paraId="242631D5" w14:textId="3FE89C54">
      <w:pPr>
        <w:spacing w:before="240" w:beforeAutospacing="off" w:after="240" w:afterAutospacing="off"/>
      </w:pPr>
      <w:r w:rsidRPr="4BA40696" w:rsidR="757AEB8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Carbon pricing mechanisms</w:t>
      </w:r>
      <w:r w:rsidRPr="4BA40696" w:rsidR="757AEB84">
        <w:rPr>
          <w:rFonts w:ascii="Cambria" w:hAnsi="Cambria" w:eastAsia="Cambria" w:cs="Cambria"/>
          <w:noProof w:val="0"/>
          <w:sz w:val="22"/>
          <w:szCs w:val="22"/>
          <w:lang w:val="en-US"/>
        </w:rPr>
        <w:t>—emissions trading systems and carbon taxes—create incentives to cut emissions. Their success depends on effective design, rigorous verification, and safeguards against greenwashing.</w:t>
      </w:r>
    </w:p>
    <w:p w:rsidR="757AEB84" w:rsidP="4BA40696" w:rsidRDefault="757AEB84" w14:paraId="79956B8B" w14:textId="77B72316">
      <w:pPr>
        <w:spacing w:before="240" w:beforeAutospacing="off" w:after="240" w:afterAutospacing="off"/>
      </w:pPr>
      <w:r w:rsidRPr="4BA40696" w:rsidR="757AEB8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Digital technologies</w:t>
      </w:r>
      <w:r w:rsidRPr="4BA40696" w:rsidR="757AEB8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add new momentum. Blockchain enhances transparency and enables peer-to-peer energy trading, while AI-driven analytics improve risk assessment and expand access to green investments.</w:t>
      </w:r>
    </w:p>
    <w:p w:rsidR="757AEB84" w:rsidP="4BA40696" w:rsidRDefault="757AEB84" w14:paraId="02442C32" w14:textId="629774F2">
      <w:pPr>
        <w:spacing w:before="240" w:beforeAutospacing="off" w:after="240" w:afterAutospacing="off"/>
      </w:pPr>
      <w:r w:rsidRPr="4BA40696" w:rsidR="757AEB8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Debt-for-energy swaps</w:t>
      </w:r>
      <w:r w:rsidRPr="4BA40696" w:rsidR="757AEB8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have the potential to lower debt burdens while funding renewables. These arrangements require strong governance and multilateral support to overcome regulatory and transaction hurdles.</w:t>
      </w:r>
    </w:p>
    <w:p w:rsidR="757AEB84" w:rsidP="4BA40696" w:rsidRDefault="757AEB84" w14:paraId="1CB33E4B" w14:textId="40FF852F">
      <w:pPr>
        <w:spacing w:before="240" w:beforeAutospacing="off" w:after="240" w:afterAutospacing="off"/>
      </w:pPr>
      <w:r w:rsidRPr="4BA40696" w:rsidR="757AEB84">
        <w:rPr>
          <w:rFonts w:ascii="Cambria" w:hAnsi="Cambria" w:eastAsia="Cambria" w:cs="Cambria"/>
          <w:noProof w:val="0"/>
          <w:sz w:val="22"/>
          <w:szCs w:val="22"/>
          <w:lang w:val="en-US"/>
        </w:rPr>
        <w:t>Together, these tools can mobilize trillions, strengthen trust, and accelerate the low-carbon shift. This chapter examines their potential, challenges, and strategies for maximizing impact.</w:t>
      </w:r>
    </w:p>
    <w:p w:rsidR="4BA40696" w:rsidP="4BA40696" w:rsidRDefault="4BA40696" w14:paraId="30784463" w14:textId="530F882C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sectPr w:rsidR="00C93D17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00315253">
    <w:abstractNumId w:val="7"/>
  </w:num>
  <w:num w:numId="2" w16cid:durableId="1370716875">
    <w:abstractNumId w:val="5"/>
  </w:num>
  <w:num w:numId="3" w16cid:durableId="1526282498">
    <w:abstractNumId w:val="1"/>
  </w:num>
  <w:num w:numId="4" w16cid:durableId="1572041946">
    <w:abstractNumId w:val="6"/>
  </w:num>
  <w:num w:numId="5" w16cid:durableId="2100127978">
    <w:abstractNumId w:val="3"/>
  </w:num>
  <w:num w:numId="6" w16cid:durableId="48847084">
    <w:abstractNumId w:val="8"/>
  </w:num>
  <w:num w:numId="7" w16cid:durableId="6948593">
    <w:abstractNumId w:val="2"/>
  </w:num>
  <w:num w:numId="8" w16cid:durableId="859469718">
    <w:abstractNumId w:val="0"/>
  </w:num>
  <w:num w:numId="9" w16cid:durableId="947394008">
    <w:abstractNumId w:val="4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35B"/>
    <w:rsid w:val="0015074B"/>
    <w:rsid w:val="00155C08"/>
    <w:rsid w:val="001D6633"/>
    <w:rsid w:val="002860E7"/>
    <w:rsid w:val="0029639D"/>
    <w:rsid w:val="00326F90"/>
    <w:rsid w:val="00521F50"/>
    <w:rsid w:val="0061449E"/>
    <w:rsid w:val="006C6F55"/>
    <w:rsid w:val="006D626D"/>
    <w:rsid w:val="007D67D9"/>
    <w:rsid w:val="008A2131"/>
    <w:rsid w:val="009F33FB"/>
    <w:rsid w:val="00A45B6D"/>
    <w:rsid w:val="00AA1D8D"/>
    <w:rsid w:val="00B47730"/>
    <w:rsid w:val="00C93D17"/>
    <w:rsid w:val="00CB0664"/>
    <w:rsid w:val="00CEF5F9"/>
    <w:rsid w:val="00D37854"/>
    <w:rsid w:val="00D63B83"/>
    <w:rsid w:val="00EA3141"/>
    <w:rsid w:val="00F42908"/>
    <w:rsid w:val="00FC693F"/>
    <w:rsid w:val="00FE2EDC"/>
    <w:rsid w:val="0A6FABD2"/>
    <w:rsid w:val="1EB64808"/>
    <w:rsid w:val="2596313B"/>
    <w:rsid w:val="42955400"/>
    <w:rsid w:val="4366AEE4"/>
    <w:rsid w:val="45A5422D"/>
    <w:rsid w:val="4BA40696"/>
    <w:rsid w:val="5C62E630"/>
    <w:rsid w:val="60F1C162"/>
    <w:rsid w:val="69B9B979"/>
    <w:rsid w:val="69BA4FC4"/>
    <w:rsid w:val="757AEB84"/>
    <w:rsid w:val="75A124A8"/>
    <w:rsid w:val="77D98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8EAED0D-C73A-457F-87C3-BD18D6248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0A435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A21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213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8A21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213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A21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microsoft.com/office/2016/09/relationships/commentsIds" Target="commentsIds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microsoft.com/office/2011/relationships/commentsExtended" Target="commentsExtended.xml" Id="rId10" /><Relationship Type="http://schemas.openxmlformats.org/officeDocument/2006/relationships/customXml" Target="../customXml/item4.xml" Id="rId4" /><Relationship Type="http://schemas.microsoft.com/office/2011/relationships/people" Target="peop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70033F315F542A2D9640B7CC02236" ma:contentTypeVersion="16" ma:contentTypeDescription="Create a new document." ma:contentTypeScope="" ma:versionID="94449e8ff35cec47b43afd2e381d9e90">
  <xsd:schema xmlns:xsd="http://www.w3.org/2001/XMLSchema" xmlns:xs="http://www.w3.org/2001/XMLSchema" xmlns:p="http://schemas.microsoft.com/office/2006/metadata/properties" xmlns:ns2="b0bf4113-6f4a-4f3e-b5bb-503c4d9102e3" xmlns:ns3="c8670835-afc4-4376-8ae0-1ffed5b27e6b" targetNamespace="http://schemas.microsoft.com/office/2006/metadata/properties" ma:root="true" ma:fieldsID="f7f21ad7dc1dad656b5a5a7699096a32" ns2:_="" ns3:_="">
    <xsd:import namespace="b0bf4113-6f4a-4f3e-b5bb-503c4d9102e3"/>
    <xsd:import namespace="c8670835-afc4-4376-8ae0-1ffed5b2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f4113-6f4a-4f3e-b5bb-503c4d910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70835-afc4-4376-8ae0-1ffed5b27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85086d2-6a15-4a00-bd68-213e1ec481f2}" ma:internalName="TaxCatchAll" ma:showField="CatchAllData" ma:web="c8670835-afc4-4376-8ae0-1ffed5b2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70835-afc4-4376-8ae0-1ffed5b27e6b" xsi:nil="true"/>
    <lcf76f155ced4ddcb4097134ff3c332f xmlns="b0bf4113-6f4a-4f3e-b5bb-503c4d9102e3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113E9A-2FCB-4C2D-9F1E-5687CD7067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bf4113-6f4a-4f3e-b5bb-503c4d9102e3"/>
    <ds:schemaRef ds:uri="c8670835-afc4-4376-8ae0-1ffed5b27e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1A3300F-A809-462A-AEBC-F35447017E3A}">
  <ds:schemaRefs>
    <ds:schemaRef ds:uri="http://schemas.microsoft.com/office/2006/metadata/properties"/>
    <ds:schemaRef ds:uri="http://schemas.microsoft.com/office/infopath/2007/PartnerControls"/>
    <ds:schemaRef ds:uri="c8670835-afc4-4376-8ae0-1ffed5b27e6b"/>
    <ds:schemaRef ds:uri="b0bf4113-6f4a-4f3e-b5bb-503c4d9102e3"/>
  </ds:schemaRefs>
</ds:datastoreItem>
</file>

<file path=customXml/itemProps4.xml><?xml version="1.0" encoding="utf-8"?>
<ds:datastoreItem xmlns:ds="http://schemas.openxmlformats.org/officeDocument/2006/customXml" ds:itemID="{609968BB-0BCA-4A26-942E-E6E61C573FC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Benjamin Keller</lastModifiedBy>
  <revision>26</revision>
  <dcterms:created xsi:type="dcterms:W3CDTF">2013-12-23T20:15:00.0000000Z</dcterms:created>
  <dcterms:modified xsi:type="dcterms:W3CDTF">2025-09-13T21:08:50.6145472Z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0x01010098970033F315F542A2D9640B7CC02236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