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F34F" w14:textId="77777777" w:rsidR="00BA347F" w:rsidRDefault="00BA347F" w:rsidP="00BA347F">
      <w:pPr>
        <w:pStyle w:val="NormalWeb"/>
      </w:pPr>
      <w:r>
        <w:rPr>
          <w:rStyle w:val="Strong"/>
          <w:rFonts w:eastAsiaTheme="majorEastAsia"/>
        </w:rPr>
        <w:t>Welcome to Chapter 2: Derisking Theory.</w:t>
      </w:r>
    </w:p>
    <w:p w14:paraId="33CB2206" w14:textId="77777777" w:rsidR="00BA347F" w:rsidRDefault="00BA347F" w:rsidP="00BA347F">
      <w:pPr>
        <w:pStyle w:val="NormalWeb"/>
      </w:pPr>
      <w:r>
        <w:t>Investing in renewable energy in developing countries is about more than deploying new technology—it’s about understanding and managing risk. In this chapter, we explore how risks are defined, perceived, and priced by investors and lenders, and why these risks often make financing renewable energy projects more expensive in emerging markets.</w:t>
      </w:r>
    </w:p>
    <w:p w14:paraId="12E5117B" w14:textId="77777777" w:rsidR="00BA347F" w:rsidRDefault="00BA347F" w:rsidP="00BA347F">
      <w:pPr>
        <w:pStyle w:val="NormalWeb"/>
      </w:pPr>
      <w:r>
        <w:t>You’ll learn about the different types of risks that can affect renewable energy investment, from political and regulatory uncertainty to currency fluctuations and project-specific challenges. We’ll examine how these risks shape investment decisions, influence the cost of capital, and ultimately determine whether projects move forward or stall.</w:t>
      </w:r>
    </w:p>
    <w:p w14:paraId="78DC523A" w14:textId="77777777" w:rsidR="00BA347F" w:rsidRDefault="00BA347F" w:rsidP="00BA347F">
      <w:pPr>
        <w:pStyle w:val="NormalWeb"/>
      </w:pPr>
      <w:r>
        <w:t>But risk is not just a barrier—it’s also a lever for action. This chapter introduces the theory of change that underpins effective derisking, showing how targeted public and private interventions can reduce risk, lower financing costs, and unlock new investment. We’ll look at the strategies that governments, development partners, and investors use to address these barriers, and how derisking can transform the investment landscape for clean energy.</w:t>
      </w:r>
    </w:p>
    <w:p w14:paraId="374B8444" w14:textId="77777777" w:rsidR="00BA347F" w:rsidRDefault="00BA347F" w:rsidP="00BA347F">
      <w:pPr>
        <w:pStyle w:val="NormalWeb"/>
      </w:pPr>
      <w:r>
        <w:t>By the end of this chapter, you’ll have a solid foundation in the concepts and logic that drive the DREI approach, preparing you to see how these ideas are put into practice in the next chapter.</w:t>
      </w:r>
    </w:p>
    <w:p w14:paraId="671291F8" w14:textId="77777777" w:rsidR="00F26489" w:rsidRDefault="00F26489"/>
    <w:sectPr w:rsidR="00F26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7F"/>
    <w:rsid w:val="003C3A41"/>
    <w:rsid w:val="005B6FA7"/>
    <w:rsid w:val="00983A3B"/>
    <w:rsid w:val="00BA347F"/>
    <w:rsid w:val="00DA6D6E"/>
    <w:rsid w:val="00E33B9F"/>
    <w:rsid w:val="00F26489"/>
    <w:rsid w:val="00FF0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406EC3"/>
  <w15:chartTrackingRefBased/>
  <w15:docId w15:val="{EBD40F58-568E-0143-8811-A2D82E88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7F"/>
    <w:rPr>
      <w:rFonts w:eastAsiaTheme="majorEastAsia" w:cstheme="majorBidi"/>
      <w:color w:val="272727" w:themeColor="text1" w:themeTint="D8"/>
    </w:rPr>
  </w:style>
  <w:style w:type="paragraph" w:styleId="Title">
    <w:name w:val="Title"/>
    <w:basedOn w:val="Normal"/>
    <w:next w:val="Normal"/>
    <w:link w:val="TitleChar"/>
    <w:uiPriority w:val="10"/>
    <w:qFormat/>
    <w:rsid w:val="00BA3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7F"/>
    <w:pPr>
      <w:spacing w:before="160"/>
      <w:jc w:val="center"/>
    </w:pPr>
    <w:rPr>
      <w:i/>
      <w:iCs/>
      <w:color w:val="404040" w:themeColor="text1" w:themeTint="BF"/>
    </w:rPr>
  </w:style>
  <w:style w:type="character" w:customStyle="1" w:styleId="QuoteChar">
    <w:name w:val="Quote Char"/>
    <w:basedOn w:val="DefaultParagraphFont"/>
    <w:link w:val="Quote"/>
    <w:uiPriority w:val="29"/>
    <w:rsid w:val="00BA347F"/>
    <w:rPr>
      <w:i/>
      <w:iCs/>
      <w:color w:val="404040" w:themeColor="text1" w:themeTint="BF"/>
    </w:rPr>
  </w:style>
  <w:style w:type="paragraph" w:styleId="ListParagraph">
    <w:name w:val="List Paragraph"/>
    <w:basedOn w:val="Normal"/>
    <w:uiPriority w:val="34"/>
    <w:qFormat/>
    <w:rsid w:val="00BA347F"/>
    <w:pPr>
      <w:ind w:left="720"/>
      <w:contextualSpacing/>
    </w:pPr>
  </w:style>
  <w:style w:type="character" w:styleId="IntenseEmphasis">
    <w:name w:val="Intense Emphasis"/>
    <w:basedOn w:val="DefaultParagraphFont"/>
    <w:uiPriority w:val="21"/>
    <w:qFormat/>
    <w:rsid w:val="00BA347F"/>
    <w:rPr>
      <w:i/>
      <w:iCs/>
      <w:color w:val="0F4761" w:themeColor="accent1" w:themeShade="BF"/>
    </w:rPr>
  </w:style>
  <w:style w:type="paragraph" w:styleId="IntenseQuote">
    <w:name w:val="Intense Quote"/>
    <w:basedOn w:val="Normal"/>
    <w:next w:val="Normal"/>
    <w:link w:val="IntenseQuoteChar"/>
    <w:uiPriority w:val="30"/>
    <w:qFormat/>
    <w:rsid w:val="00BA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47F"/>
    <w:rPr>
      <w:i/>
      <w:iCs/>
      <w:color w:val="0F4761" w:themeColor="accent1" w:themeShade="BF"/>
    </w:rPr>
  </w:style>
  <w:style w:type="character" w:styleId="IntenseReference">
    <w:name w:val="Intense Reference"/>
    <w:basedOn w:val="DefaultParagraphFont"/>
    <w:uiPriority w:val="32"/>
    <w:qFormat/>
    <w:rsid w:val="00BA347F"/>
    <w:rPr>
      <w:b/>
      <w:bCs/>
      <w:smallCaps/>
      <w:color w:val="0F4761" w:themeColor="accent1" w:themeShade="BF"/>
      <w:spacing w:val="5"/>
    </w:rPr>
  </w:style>
  <w:style w:type="paragraph" w:styleId="NormalWeb">
    <w:name w:val="Normal (Web)"/>
    <w:basedOn w:val="Normal"/>
    <w:uiPriority w:val="99"/>
    <w:semiHidden/>
    <w:unhideWhenUsed/>
    <w:rsid w:val="00BA34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A34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aa6eb772666ebe3b641403f75bf75653">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b6711395d25377b6422cf45c76b561ed"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bf4113-6f4a-4f3e-b5bb-503c4d9102e3">
      <Terms xmlns="http://schemas.microsoft.com/office/infopath/2007/PartnerControls"/>
    </lcf76f155ced4ddcb4097134ff3c332f>
    <TaxCatchAll xmlns="c8670835-afc4-4376-8ae0-1ffed5b27e6b" xsi:nil="true"/>
  </documentManagement>
</p:properties>
</file>

<file path=customXml/itemProps1.xml><?xml version="1.0" encoding="utf-8"?>
<ds:datastoreItem xmlns:ds="http://schemas.openxmlformats.org/officeDocument/2006/customXml" ds:itemID="{0BDAC7C7-6E0B-4CE2-9CBA-64D4B8B98CC2}"/>
</file>

<file path=customXml/itemProps2.xml><?xml version="1.0" encoding="utf-8"?>
<ds:datastoreItem xmlns:ds="http://schemas.openxmlformats.org/officeDocument/2006/customXml" ds:itemID="{02A7E919-B7A3-4827-87F3-9AB7449EC1B7}"/>
</file>

<file path=customXml/itemProps3.xml><?xml version="1.0" encoding="utf-8"?>
<ds:datastoreItem xmlns:ds="http://schemas.openxmlformats.org/officeDocument/2006/customXml" ds:itemID="{2C018780-C85B-4CAE-98B9-DAB927EC74C7}"/>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Dallmann</dc:creator>
  <cp:keywords/>
  <dc:description/>
  <cp:lastModifiedBy>Christoph Dallmann</cp:lastModifiedBy>
  <cp:revision>2</cp:revision>
  <dcterms:created xsi:type="dcterms:W3CDTF">2025-10-22T09:51:00Z</dcterms:created>
  <dcterms:modified xsi:type="dcterms:W3CDTF">2025-10-22T10:09:00Z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4" name="docLang">
    <vt:lpwstr>en</vt:lpwstr>
  </property>
  <property fmtid="{D5CDD505-2E9C-101B-9397-08002B2CF9AE}" pid="5" name="MediaServiceImageTags">
    <vt:lpwstr/>
  </property>
</Properties>
</file>