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 في الفصل الأول: مقدمة في أنظمة الطاقة.</w:t>
      </w:r>
    </w:p>
    <w:p>
      <w:r>
        <w:t>الطاقة هي المحرك غير المرئي الذي يدعم مجتمعاتنا — من المياه النظيفة والرعاية الصحية إلى الوصول الرقمي والفرص الاقتصادية. لكن بالنسبة للكثيرين، لا يزال ذلك المحرك مفقودًا. هذه الفجوات ليست مجرد تحديات تقنية — إنها حواجز أمام التنمية البشرية.</w:t>
      </w:r>
    </w:p>
    <w:p>
      <w:r>
        <w:t>في هذا الفصل، سنستكشف كيف تعمل أنظمة الطاقة كشبكات مترابطة. سنتتبع تدفق الطاقة من مصادر مثل الوقود الأحفوري، والطاقة المائية، والطاقة الشمسية، والرياح، عبر الشبكات وخطوط الأنابيب، وإلى القطاعات التي تعتمد عليها — الأسر، والنقل، والصناعة، والزراعة.</w:t>
      </w:r>
    </w:p>
    <w:p>
      <w:r>
        <w:t>كما سنقدم إطارًا حاسمًا: معضلة الطاقة الثلاثية. موازنة ثلاثة ضرورات — الأمن، والعدالة، والاستدامة. الأمن يعني إمدادًا موثوقًا. والعدالة تعني وصولًا ميسورًا وشاملًا. والاستدامة تعني تقليل انبعاثات الكربون في الإنتاج والاستخدام لتحقيق أهداف المناخ.</w:t>
      </w:r>
    </w:p>
    <w:p>
      <w:r>
        <w:t>التحدي هو أن الطاقة تدفع التقدم، لكن الأنظمة المعتمدة على الوقود الأحفوري تساهم أيضًا في مخاطر المناخ وضغط الموارد. لهذا السبب، لا يمكن حل انتقال الطاقة بواسطة التكنولوجيا فقط. القرارات السياسية، والأنظمة المالية، وهياكل الحوكمة تشكل من يستفيد — ومن يُترك خلفه.</w:t>
      </w:r>
    </w:p>
    <w:p>
      <w:r>
        <w:t>بنهاية هذا الفصل، سترى لماذا الطاقة المستدامة ليست مجرد تقنيات أنظف. إنها إصلاح منهجي — من الاستثمار والتنظيم، إلى الابتكار الرقمي والنماذج اللامركزية — جميعها تهدف إلى ضمان مستقبل طاقة عادل ومرن للجميع.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