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 في درسك الأول من أكاديمية الطاقة المستدامة.</w:t>
      </w:r>
    </w:p>
    <w:p>
      <w:r>
        <w:t>كما تعلم، فإن الطاقة هي محرك التقدم وتهديد متزايد للكوكب. فهي تزود المستشفيات والمدارس والاقتصادات بالطاقة — ومع ذلك، فإن الطريقة التي ننتج ونستهلك بها، بشكل رئيسي من خلال الوقود الأحفوري، تغذي أزمة المناخ.</w:t>
      </w:r>
    </w:p>
    <w:p>
      <w:r>
        <w:t>حتى عام 2023، لا يزال حوالي 666 مليون شخص في جميع أنحاء العالم يعيشون بدون كهرباء. وفي نفس العام، كان حوالي 2.1 مليار شخص يفتقرون إلى حلول طهي نظيفة.</w:t>
      </w:r>
    </w:p>
    <w:p>
      <w:r>
        <w:t>وفي الوقت نفسه، تظل الوقود الأحفوري المصدر المسيطر على الطاقة العالمية. على الرغم من أن مصادر الطاقة المتجددة تتوسع بسرعة، إلا أن استهلاك الوقود الأحفوري لا يزال في ارتفاع.</w:t>
      </w:r>
    </w:p>
    <w:p>
      <w:r>
        <w:t>هذه هي المفارقة: كيف يمكننا توسيع الوصول إلى الطاقة لرفع مليارات الناس من الفقر — دون تقويض الأنظمة التي تدعم الحياة على الأرض؟</w:t>
      </w:r>
    </w:p>
    <w:p>
      <w:r>
        <w:t>في هذا الدرس، سنستكشف هذه التناقضات ونسأل الأسئلة الصعبة: لماذا يتلقى الجنوب العالمي، الغني بالموارد المتجددة، استثمارات قليلة في الطاقة النظيفة؟ هل يمكننا موازنة العمل المناخي مع حقوق التنمية؟</w:t>
      </w:r>
    </w:p>
    <w:p>
      <w:r>
        <w:t>الانتقال جارٍ. بحلول عام 2024، بلغ الاستثمار العالمي في تقنيات الطاقة النظيفة — من مصادر متجددة وتخزين إلى الشبكات والكهرباء — حوالي 2.1 تريليون دولار أمريكي، أي أكثر من ضعف المبلغ المستثمر في الوقود الأحفوري. على مدى العقد الماضي، انخفضت تكلفة الطاقة الشمسية بأكثر من 80 بالمئة، مما جعلها أرخص مصدر جديد للكهرباء في العديد من البلدان.</w:t>
      </w:r>
    </w:p>
    <w:p>
      <w:r>
        <w:t>لكن هل هذا الانتقال سريع بما يكفي — وهل هو عادل؟</w:t>
      </w:r>
    </w:p>
    <w:p>
      <w:r>
        <w:t>دعونا نفكك المعضلات التي تشكل مستقبل البشرية — ونستكشف ما يتطلبه الأمر لإنشاء انتقال طاقي عادل وشامل وتحويلي.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