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4: الحوكمة الاستراتيجية ونماذج الشراكة من أجل انتقال عادل للطاقة.</w:t>
      </w:r>
    </w:p>
    <w:p>
      <w:r>
        <w:t>يتطلب التحول إلى طاقة عادلة ومستدامة أكثر من التكنولوجيا — فهو يتطلب حوكمة قوية، سياسات شاملة، وتمويل يولي الأولوية للعدالة.</w:t>
      </w:r>
    </w:p>
    <w:p>
      <w:r>
        <w:t>يدمج نهج برنامج الأمم المتحدة الإنمائي الشمولية في الاستراتيجيات الوطنية مثل خطط الطاقة والالتزامات المناخية، لضمان مشاركة الفئات الضعيفة — بما في ذلك النساء، والشباب، والعمال غير الرسميين — في الفوائد. تساعد الأدوات المستندة إلى البيانات مثل نموذج تقييم الوظائف الخضراء الحكومات على توقع الآثار وتصميم التدابير التي تحمي المجتمعات.</w:t>
      </w:r>
    </w:p>
    <w:p>
      <w:r>
        <w:t>تسلط ديمقراطية الطاقة الضوء على الحوكمة التشاركية، حيث يكون للمجتمعات صوت وإمكانية وصول عادلة إلى الموارد. في بورتو ريكو، تظهر المشاريع التي يقودها المجتمع، مثل مرافق الطاقة الكهرومائية المعاد توظيفها، كيف يمكن للملكية المحلية أن تعزز المرونة عندما تدعمها سياسات تمكينية.</w:t>
      </w:r>
    </w:p>
    <w:p>
      <w:r>
        <w:t>تعمل شراكات الانتقال العادل للطاقة على تعبئة التمويل العام والخاص للتخلص التدريجي من الفحم وتحديث الشبكات. على سبيل المثال، في إندونيسيا، تساعد فرق العمل المخصصة على مواءمة التمويل مع الأولويات المحلية، مع التركيز على الشفافية والعدالة الاجتماعية.</w:t>
      </w:r>
    </w:p>
    <w:p>
      <w:r>
        <w:t>معًا، تشكل الحوكمة والشراكات أساس الانتقال العادل — الذي يوحد أهداف المناخ مع العدالة، والفرص، والاستدامة.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