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3: زيادة استثمار القطاع الخاص في الطاقة المستدامة.  </w:t>
      </w:r>
    </w:p>
    <w:p>
      <w:r>
        <w:t xml:space="preserve">في هذا الفصل، نركز على كيفية تعبئة رأس المال الحيوي اللازم لتسريع التحول العالمي للطاقة. بحلول عام 2030، يُقدّر أن يتطلب الأمر أكثر من أربعة تريليون دولار سنويًا لتحقيق أهداف الطاقة النظيفة العالمية. التمويل العام وحده لا يمكنه سد هذا الفجوة الكبيرة في التمويل. بدلاً من ذلك، يجب زيادة استثمار القطاع الخاص بشكل كبير لفتح الابتكارات، والنشر، وتقليل التكاليف الضرورية لمستقبل طاقة مستدام.  </w:t>
      </w:r>
    </w:p>
    <w:p>
      <w:r>
        <w:t xml:space="preserve">على الرغم من الحاجة الواضحة، يظل استثمار القطاع الخاص في الطاقة المتجددة غير متساوٍ عبر المناطق. بينما تتزايد الاستثمارات العالمية، فإن الدول النامية — على الرغم من إمكاناتها العالية في الطاقة المتجددة واحتياجاتها الملحة للوصول إلى الطاقة — تجذب أقل من 15٪ من إجمالي استثمارات الطاقة النظيفة حتى عام 2023. يسلط هذا التفاوت الضوء على الحواجز التي تواجهها هذه المناطق: المخاطر المالية العالية، الأسواق غير المتطورة، عدم اليقين التنظيمي، والفجوات في البنية التحتية كلها تساهم في محدودية مشاركة القطاع الخاص.  </w:t>
      </w:r>
    </w:p>
    <w:p>
      <w:r>
        <w:t xml:space="preserve">لمواجهة هذه التحديات، تعتبر الحلول المستهدفة ضرورية. يمكن لاستراتيجيات التخفيف من المخاطر — مثل الضمانات، والتأمين، والتوريق — أن تقلل من المخاطر الاستثمارية المدركة. على سبيل المثال، في كازاخستان، أطلقت الإصلاحات السياسية وتقليل المخاطر المالية رأس المال الخاص لمشاريع الطاقة المتجددة، مما يوضح كيف يمكن للتدخلات الفعالة أن تخلق بيئة استثمارية أكثر جاذبية.  </w:t>
      </w:r>
    </w:p>
    <w:p>
      <w:r>
        <w:t xml:space="preserve">نهج رئيسي آخر هو التمويل المختلط، الذي يجمع بين الأموال العامة التيسيرية ورأس المال الخاص. من خلال الاستفادة من الموارد العامة لتقليل المخاطر، يجعل التمويل المختلط مشاريع الطاقة النظيفة ذات التأثير العالي أكثر جاذبية للمستثمرين الخاصين. في كينيا، نجح التمويل المختلط في تعبئة الأموال الخاصة لمبادرات الطاقة الشمسية والرياح، مما يوضح إمكاناته في الأسواق النامية.  </w:t>
      </w:r>
    </w:p>
    <w:p>
      <w:r>
        <w:t xml:space="preserve">باختصار، لتحقيق هدف الاستثمار العالمي في الطاقة النظيفة الذي يتجاوز أربعة تريليون دولار سنويًا بحلول عام 2030، فإن تعبئة رأس المال الخاص أمر لا غنى عنه. إن معالجة الحواجز من خلال استراتيجيات التخفيف من المخاطر، واستراتيجيات التمويل المبتكرة، والإصلاحات السياسية ستكون ضرورية لفتح الاستثمارات اللازمة لمستقبل طاقة مستدام.  </w:t>
      </w:r>
    </w:p>
    <w:p>
      <w:r>
        <w:t>الآن، دعونا نستكشف هذه الاستراتيجيات بمزيد من التفصيل في الدروس القادمة.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