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مرحبًا بكم في الفصل 3، مع التركيز على كيف تدفع الابتكار مستقبلًا مستدامًا للطاقة. تتقدم تقنيات الطاقة المتجددة بسرعة، ومع ذلك لا يزال معدل الاعتماد يختلف بشكل كبير عبر المناطق. لا تزال التحديات قائمة، خاصة في البلدان النامية حيث غالبًا ما تكون نظم الابتكار المحلية غير متطورة. بناء هذه النظم ضروري—مع التركيز على تكييف التكنولوجيا، ودعم رواد الأعمال، وتعزيز التعاون المؤسسي.  </w:t>
      </w:r>
    </w:p>
    <w:p>
      <w:r>
        <w:t xml:space="preserve">يلعب السياسات دورًا محوريًا. الآليات الفعالة مثل الالتزامات الوطنية للمناخ، وتسعير الكربون، وإلغاء دعم الوقود الأحفوري ضرورية لتسريع النشر. على سبيل المثال، شهدت الدول التي تنفذ تعرفة التغذية أو معايير محفظة الطاقة المتجددة زيادات كبيرة في قدرة الطاقة النظيفة.  </w:t>
      </w:r>
    </w:p>
    <w:p>
      <w:r>
        <w:t xml:space="preserve">استراتيجيات الصناعة مهمة أيضًا. يتطلب توسيع الابتكارات شراكات استراتيجية—بين الشركات الناشئة، والمستثمرين، وصانعي السياسات—مدعومة بسياسات ميسرة وتمويل مختلط. هذا النهج ضروري في المناطق التي تعيق فيها فجوات التمويل والحواجز التقنية التقدم.  </w:t>
      </w:r>
    </w:p>
    <w:p>
      <w:r>
        <w:t xml:space="preserve">تطوير القوى العاملة هو مكون رئيسي آخر. تضمن برامج إعادة التأهيل المهني، وتعزيز الشمولية بين الجنسين، وتبادل المعرفة أن يكون الانتقال عادلًا ومنصفًا. يمكن أن يفتح إشراك المجتمعات المحلية وتمكين العمال الإمكانات الكاملة لتقنيات الطاقة المتجددة.  </w:t>
      </w:r>
    </w:p>
    <w:p>
      <w:r>
        <w:t>بشكل عام، أظهر هذا الفصل أن الانتقال الطاقي هو جهد جماعي—مدفوع بالسياسات، والابتكار، والعمل الشامل. ستحدد الخيارات التي نتخذها اليوم ما إذا كان هذا الانتقال عادلًا، ومرنًا، ومستدامًا للجميع. حان الوقت لتحويل المعرفة إلى عمل.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