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 في الفصل 2: نظرية تقليل المخاطر.</w:t>
      </w:r>
    </w:p>
    <w:p>
      <w:r>
        <w:t>الاستثمار في الطاقة المتجددة في البلدان النامية يتعدى مجرد نشر تكنولوجيا جديدة — إنه يتعلق بفهم وإدارة المخاطر. في هذا الفصل، نستكشف كيف يتم تعريف المخاطر، وتصوّرها، وتقييمها من قبل المستثمرين والمقرضين، ولماذا غالبًا ما تجعل هذه المخاطر تمويل مشاريع الطاقة المتجددة أكثر تكلفة في الأسواق الناشئة.</w:t>
      </w:r>
    </w:p>
    <w:p>
      <w:r>
        <w:t>ستتعلم عن الأنواع المختلفة من المخاطر التي يمكن أن تؤثر على استثمار الطاقة المتجددة، من عدم اليقين السياسي والتنظيمي إلى تقلبات العملة والتحديات الخاصة بالمشروع. سنفحص كيف تشكل هذه المخاطر قرارات الاستثمار، وتؤثر على تكلفة رأس المال، وفي النهاية تحدد ما إذا كانت المشاريع تتقدم أو تتوقف.</w:t>
      </w:r>
    </w:p>
    <w:p>
      <w:r>
        <w:t>لكن المخاطر ليست مجرد عائق — إنها أيضًا رافعة للعمل. يقدم هذا الفصل نظرية التغيير التي تدعم تقليل المخاطر بشكل فعال، موضحًا كيف يمكن للتدخلات العامة والخاصة المستهدفة أن تقلل من المخاطر، وتخفض تكاليف التمويل، وتفتح آفاقًا جديدة للاستثمار. سننظر في الاستراتيجيات التي تستخدمها الحكومات، وشركاء التنمية، والمستثمرون لمعالجة هذه الحواجز، وكيف يمكن لتقليل المخاطر أن يغير مشهد الاستثمار في الطاقة النظيفة.</w:t>
      </w:r>
    </w:p>
    <w:p>
      <w:r>
        <w:t>بنهاية هذا الفصل، سيكون لديك أساس قوي في المفاهيم والمنطق الذي يدفع نهج DREI، مما يجهزك لرؤية كيف تُطبق هذه الأفكار في الممارسة في الفصل التالي.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