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8B0D636" w:rsidP="2A098FE1" w:rsidRDefault="08B0D636" w14:paraId="44A2346F" w14:textId="13754648">
      <w:pPr>
        <w:spacing w:before="240" w:beforeAutospacing="off" w:after="240" w:afterAutospacing="off"/>
      </w:pPr>
      <w:r w:rsidRPr="2A098FE1" w:rsidR="08B0D636">
        <w:rPr>
          <w:rFonts w:ascii="Cambria" w:hAnsi="Cambria" w:eastAsia="Cambria" w:cs="Cambria"/>
          <w:noProof w:val="0"/>
          <w:sz w:val="22"/>
          <w:szCs w:val="22"/>
          <w:lang w:val="en-US"/>
        </w:rPr>
        <w:t xml:space="preserve">Welcome to Chapter 4: </w:t>
      </w:r>
      <w:r w:rsidRPr="2A098FE1" w:rsidR="08B0D636">
        <w:rPr>
          <w:rFonts w:ascii="Cambria" w:hAnsi="Cambria" w:eastAsia="Cambria" w:cs="Cambria"/>
          <w:i w:val="1"/>
          <w:iCs w:val="1"/>
          <w:noProof w:val="0"/>
          <w:sz w:val="22"/>
          <w:szCs w:val="22"/>
          <w:lang w:val="en-US"/>
        </w:rPr>
        <w:t>Approaches, Methods, and Tools for Strategic Innovation.</w:t>
      </w:r>
    </w:p>
    <w:p w:rsidR="08B0D636" w:rsidP="2A098FE1" w:rsidRDefault="08B0D636" w14:paraId="38645221" w14:textId="40DB071D">
      <w:pPr>
        <w:spacing w:before="240" w:beforeAutospacing="off" w:after="240" w:afterAutospacing="off"/>
      </w:pPr>
      <w:r w:rsidRPr="2A098FE1" w:rsidR="08B0D636">
        <w:rPr>
          <w:rFonts w:ascii="Cambria" w:hAnsi="Cambria" w:eastAsia="Cambria" w:cs="Cambria"/>
          <w:noProof w:val="0"/>
          <w:sz w:val="22"/>
          <w:szCs w:val="22"/>
          <w:lang w:val="en-US"/>
        </w:rPr>
        <w:t>How do we turn bold visions for energy transformation into real-world results?</w:t>
      </w:r>
      <w:r>
        <w:br/>
      </w:r>
      <w:r w:rsidRPr="2A098FE1" w:rsidR="08B0D636">
        <w:rPr>
          <w:rFonts w:ascii="Cambria" w:hAnsi="Cambria" w:eastAsia="Cambria" w:cs="Cambria"/>
          <w:noProof w:val="0"/>
          <w:sz w:val="22"/>
          <w:szCs w:val="22"/>
          <w:lang w:val="en-US"/>
        </w:rPr>
        <w:t xml:space="preserve"> The answer lies in the approaches and tools we choose.</w:t>
      </w:r>
    </w:p>
    <w:p w:rsidR="08B0D636" w:rsidP="2A098FE1" w:rsidRDefault="08B0D636" w14:paraId="55091F19" w14:textId="08F43F11">
      <w:pPr>
        <w:spacing w:before="240" w:beforeAutospacing="off" w:after="240" w:afterAutospacing="off"/>
      </w:pPr>
      <w:r w:rsidRPr="2A098FE1" w:rsidR="08B0D636">
        <w:rPr>
          <w:rFonts w:ascii="Cambria" w:hAnsi="Cambria" w:eastAsia="Cambria" w:cs="Cambria"/>
          <w:noProof w:val="0"/>
          <w:sz w:val="22"/>
          <w:szCs w:val="22"/>
          <w:lang w:val="en-US"/>
        </w:rPr>
        <w:t>In this chapter, we’ll explore four powerful ways of working that can make the transition more inclusive, equitable, and effective.</w:t>
      </w:r>
    </w:p>
    <w:p w:rsidR="08B0D636" w:rsidP="2A098FE1" w:rsidRDefault="08B0D636" w14:paraId="3106A4DC" w14:textId="4D5280B2">
      <w:pPr>
        <w:spacing w:before="240" w:beforeAutospacing="off" w:after="240" w:afterAutospacing="off"/>
      </w:pPr>
      <w:r w:rsidRPr="2A098FE1" w:rsidR="08B0D636">
        <w:rPr>
          <w:rFonts w:ascii="Cambria" w:hAnsi="Cambria" w:eastAsia="Cambria" w:cs="Cambria"/>
          <w:noProof w:val="0"/>
          <w:sz w:val="22"/>
          <w:szCs w:val="22"/>
          <w:lang w:val="en-US"/>
        </w:rPr>
        <w:t xml:space="preserve">The </w:t>
      </w:r>
      <w:r w:rsidRPr="2A098FE1" w:rsidR="08B0D636">
        <w:rPr>
          <w:rFonts w:ascii="Cambria" w:hAnsi="Cambria" w:eastAsia="Cambria" w:cs="Cambria"/>
          <w:b w:val="1"/>
          <w:bCs w:val="1"/>
          <w:noProof w:val="0"/>
          <w:sz w:val="22"/>
          <w:szCs w:val="22"/>
          <w:lang w:val="en-US"/>
        </w:rPr>
        <w:t>whole-of-society approach</w:t>
      </w:r>
      <w:r w:rsidRPr="2A098FE1" w:rsidR="08B0D636">
        <w:rPr>
          <w:rFonts w:ascii="Cambria" w:hAnsi="Cambria" w:eastAsia="Cambria" w:cs="Cambria"/>
          <w:noProof w:val="0"/>
          <w:sz w:val="22"/>
          <w:szCs w:val="22"/>
          <w:lang w:val="en-US"/>
        </w:rPr>
        <w:t xml:space="preserve"> brings everyone to the table—governments, communities, and the private sector. By working together, policies become more inclusive, partnerships stronger, and outcomes more lasting.</w:t>
      </w:r>
    </w:p>
    <w:p w:rsidR="08B0D636" w:rsidP="2A098FE1" w:rsidRDefault="08B0D636" w14:paraId="1B95E3D2" w14:textId="23D1482B">
      <w:pPr>
        <w:spacing w:before="240" w:beforeAutospacing="off" w:after="240" w:afterAutospacing="off"/>
      </w:pPr>
      <w:r w:rsidRPr="2A098FE1" w:rsidR="08B0D636">
        <w:rPr>
          <w:rFonts w:ascii="Cambria" w:hAnsi="Cambria" w:eastAsia="Cambria" w:cs="Cambria"/>
          <w:noProof w:val="0"/>
          <w:sz w:val="22"/>
          <w:szCs w:val="22"/>
          <w:lang w:val="en-US"/>
        </w:rPr>
        <w:t xml:space="preserve">A </w:t>
      </w:r>
      <w:r w:rsidRPr="2A098FE1" w:rsidR="08B0D636">
        <w:rPr>
          <w:rFonts w:ascii="Cambria" w:hAnsi="Cambria" w:eastAsia="Cambria" w:cs="Cambria"/>
          <w:b w:val="1"/>
          <w:bCs w:val="1"/>
          <w:noProof w:val="0"/>
          <w:sz w:val="22"/>
          <w:szCs w:val="22"/>
          <w:lang w:val="en-US"/>
        </w:rPr>
        <w:t>human rights-based approach</w:t>
      </w:r>
      <w:r w:rsidRPr="2A098FE1" w:rsidR="08B0D636">
        <w:rPr>
          <w:rFonts w:ascii="Cambria" w:hAnsi="Cambria" w:eastAsia="Cambria" w:cs="Cambria"/>
          <w:noProof w:val="0"/>
          <w:sz w:val="22"/>
          <w:szCs w:val="22"/>
          <w:lang w:val="en-US"/>
        </w:rPr>
        <w:t xml:space="preserve"> reframes energy as more than access—it is a fundamental right. This ensures that dignity, equity, and social inclusion remain at the center of every initiative.</w:t>
      </w:r>
    </w:p>
    <w:p w:rsidR="08B0D636" w:rsidP="2A098FE1" w:rsidRDefault="08B0D636" w14:paraId="07B60E4A" w14:textId="1004763C">
      <w:pPr>
        <w:spacing w:before="240" w:beforeAutospacing="off" w:after="240" w:afterAutospacing="off"/>
      </w:pPr>
      <w:r w:rsidRPr="2A098FE1" w:rsidR="08B0D636">
        <w:rPr>
          <w:rFonts w:ascii="Cambria" w:hAnsi="Cambria" w:eastAsia="Cambria" w:cs="Cambria"/>
          <w:b w:val="1"/>
          <w:bCs w:val="1"/>
          <w:noProof w:val="0"/>
          <w:sz w:val="22"/>
          <w:szCs w:val="22"/>
          <w:lang w:val="en-US"/>
        </w:rPr>
        <w:t>Gender mainstreaming</w:t>
      </w:r>
      <w:r w:rsidRPr="2A098FE1" w:rsidR="08B0D636">
        <w:rPr>
          <w:rFonts w:ascii="Cambria" w:hAnsi="Cambria" w:eastAsia="Cambria" w:cs="Cambria"/>
          <w:noProof w:val="0"/>
          <w:sz w:val="22"/>
          <w:szCs w:val="22"/>
          <w:lang w:val="en-US"/>
        </w:rPr>
        <w:t xml:space="preserve"> reminds us that women and marginalized groups often face the highest barriers to energy access. By placing gender at the heart of project design, we can unlock opportunities and create fairer systems for all.</w:t>
      </w:r>
    </w:p>
    <w:p w:rsidR="08B0D636" w:rsidP="2A098FE1" w:rsidRDefault="08B0D636" w14:paraId="015E52EA" w14:textId="75B615B7">
      <w:pPr>
        <w:spacing w:before="240" w:beforeAutospacing="off" w:after="240" w:afterAutospacing="off"/>
      </w:pPr>
      <w:r w:rsidRPr="2A098FE1" w:rsidR="08B0D636">
        <w:rPr>
          <w:rFonts w:ascii="Cambria" w:hAnsi="Cambria" w:eastAsia="Cambria" w:cs="Cambria"/>
          <w:noProof w:val="0"/>
          <w:sz w:val="22"/>
          <w:szCs w:val="22"/>
          <w:lang w:val="en-US"/>
        </w:rPr>
        <w:t xml:space="preserve">And the </w:t>
      </w:r>
      <w:r w:rsidRPr="2A098FE1" w:rsidR="08B0D636">
        <w:rPr>
          <w:rFonts w:ascii="Cambria" w:hAnsi="Cambria" w:eastAsia="Cambria" w:cs="Cambria"/>
          <w:b w:val="1"/>
          <w:bCs w:val="1"/>
          <w:noProof w:val="0"/>
          <w:sz w:val="22"/>
          <w:szCs w:val="22"/>
          <w:lang w:val="en-US"/>
        </w:rPr>
        <w:t>intersectional approach</w:t>
      </w:r>
      <w:r w:rsidRPr="2A098FE1" w:rsidR="08B0D636">
        <w:rPr>
          <w:rFonts w:ascii="Cambria" w:hAnsi="Cambria" w:eastAsia="Cambria" w:cs="Cambria"/>
          <w:noProof w:val="0"/>
          <w:sz w:val="22"/>
          <w:szCs w:val="22"/>
          <w:lang w:val="en-US"/>
        </w:rPr>
        <w:t xml:space="preserve"> goes one step further, showing how income, geography, race, and other factors overlap to shape energy access. This perspective helps tailor solutions to the realities of people’s lives.</w:t>
      </w:r>
    </w:p>
    <w:p w:rsidR="08B0D636" w:rsidP="2A098FE1" w:rsidRDefault="08B0D636" w14:paraId="392E0BDA" w14:textId="43D93FC4">
      <w:pPr>
        <w:spacing w:before="240" w:beforeAutospacing="off" w:after="240" w:afterAutospacing="off"/>
      </w:pPr>
      <w:r w:rsidRPr="2A098FE1" w:rsidR="08B0D636">
        <w:rPr>
          <w:rFonts w:ascii="Cambria" w:hAnsi="Cambria" w:eastAsia="Cambria" w:cs="Cambria"/>
          <w:noProof w:val="0"/>
          <w:sz w:val="22"/>
          <w:szCs w:val="22"/>
          <w:lang w:val="en-US"/>
        </w:rPr>
        <w:t>Together, these approaches transform projects. They guide us in balancing affordability with sufficiency, in managing land use between food and renewables, and in reducing environmental footprints where communities are most vulnerable.</w:t>
      </w:r>
    </w:p>
    <w:p w:rsidR="08B0D636" w:rsidP="2A098FE1" w:rsidRDefault="08B0D636" w14:paraId="5A620FEC" w14:textId="2C18ADF7">
      <w:pPr>
        <w:spacing w:before="240" w:beforeAutospacing="off" w:after="240" w:afterAutospacing="off"/>
      </w:pPr>
      <w:r w:rsidRPr="2A098FE1" w:rsidR="08B0D636">
        <w:rPr>
          <w:rFonts w:ascii="Cambria" w:hAnsi="Cambria" w:eastAsia="Cambria" w:cs="Cambria"/>
          <w:noProof w:val="0"/>
          <w:sz w:val="22"/>
          <w:szCs w:val="22"/>
          <w:lang w:val="en-US"/>
        </w:rPr>
        <w:t>By applying these strategies, we can accelerate the global energy transition—and ensure it delivers not just clean power, but also justice, equity, and opportunity.</w:t>
      </w:r>
    </w:p>
    <w:p w:rsidR="08B0D636" w:rsidP="2A098FE1" w:rsidRDefault="08B0D636" w14:paraId="614AEEE8" w14:textId="35A779EF">
      <w:pPr>
        <w:spacing w:before="240" w:beforeAutospacing="off" w:after="240" w:afterAutospacing="off"/>
      </w:pPr>
      <w:r w:rsidRPr="2A098FE1" w:rsidR="08B0D636">
        <w:rPr>
          <w:rFonts w:ascii="Cambria" w:hAnsi="Cambria" w:eastAsia="Cambria" w:cs="Cambria"/>
          <w:noProof w:val="0"/>
          <w:sz w:val="22"/>
          <w:szCs w:val="22"/>
          <w:lang w:val="en-US"/>
        </w:rPr>
        <w:t>Let’s begin, and discover how these transformative approaches can turn ideas into impact.</w:t>
      </w:r>
    </w:p>
    <w:p w:rsidR="2A098FE1" w:rsidRDefault="2A098FE1" w14:paraId="5C0648B8" w14:textId="5F83FC51"/>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B0D636"/>
    <w:rsid w:val="0F6F54EB"/>
    <w:rsid w:val="2A098FE1"/>
    <w:rsid w:val="76675D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1A9C9D71-AF40-4D14-BCB8-5DB84B1AB9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webSettings" Target="webSettings.xml" Id="rId6" /><Relationship Type="http://schemas.openxmlformats.org/officeDocument/2006/relationships/customXml" Target="../customXml/item1.xml" Id="rId1" /><Relationship Type="http://schemas.openxmlformats.org/officeDocument/2006/relationships/customXml" Target="../customXml/item4.xml" Id="rId11" /><Relationship Type="http://schemas.openxmlformats.org/officeDocument/2006/relationships/settings" Target="settings.xml" Id="rId5" /><Relationship Type="http://schemas.openxmlformats.org/officeDocument/2006/relationships/customXml" Target="../customXml/item3.xml" Id="rId10" /><Relationship Type="http://schemas.microsoft.com/office/2007/relationships/stylesWithEffects" Target="stylesWithEffects.xml" Id="rId4" /><Relationship Type="http://schemas.openxmlformats.org/officeDocument/2006/relationships/customXml" Target="../customXml/item2.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8970033F315F542A2D9640B7CC02236" ma:contentTypeVersion="16" ma:contentTypeDescription="Create a new document." ma:contentTypeScope="" ma:versionID="94449e8ff35cec47b43afd2e381d9e90">
  <xsd:schema xmlns:xsd="http://www.w3.org/2001/XMLSchema" xmlns:xs="http://www.w3.org/2001/XMLSchema" xmlns:p="http://schemas.microsoft.com/office/2006/metadata/properties" xmlns:ns2="b0bf4113-6f4a-4f3e-b5bb-503c4d9102e3" xmlns:ns3="c8670835-afc4-4376-8ae0-1ffed5b27e6b" targetNamespace="http://schemas.microsoft.com/office/2006/metadata/properties" ma:root="true" ma:fieldsID="f7f21ad7dc1dad656b5a5a7699096a32" ns2:_="" ns3:_="">
    <xsd:import namespace="b0bf4113-6f4a-4f3e-b5bb-503c4d9102e3"/>
    <xsd:import namespace="c8670835-afc4-4376-8ae0-1ffed5b27e6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bf4113-6f4a-4f3e-b5bb-503c4d9102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670835-afc4-4376-8ae0-1ffed5b27e6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285086d2-6a15-4a00-bd68-213e1ec481f2}" ma:internalName="TaxCatchAll" ma:showField="CatchAllData" ma:web="c8670835-afc4-4376-8ae0-1ffed5b27e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8670835-afc4-4376-8ae0-1ffed5b27e6b" xsi:nil="true"/>
    <lcf76f155ced4ddcb4097134ff3c332f xmlns="b0bf4113-6f4a-4f3e-b5bb-503c4d9102e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362C83B-D3E1-4FD7-92B7-E4EFC8CA30C6}"/>
</file>

<file path=customXml/itemProps3.xml><?xml version="1.0" encoding="utf-8"?>
<ds:datastoreItem xmlns:ds="http://schemas.openxmlformats.org/officeDocument/2006/customXml" ds:itemID="{F287B160-1A2E-4E36-99D7-FBE2FBCC76B0}"/>
</file>

<file path=customXml/itemProps4.xml><?xml version="1.0" encoding="utf-8"?>
<ds:datastoreItem xmlns:ds="http://schemas.openxmlformats.org/officeDocument/2006/customXml" ds:itemID="{CEC146CC-6085-4CD1-94B8-D583324EB9E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Benjamin Keller</cp:lastModifiedBy>
  <cp:revision>3</cp:revision>
  <dcterms:created xsi:type="dcterms:W3CDTF">2013-12-23T23:15:00Z</dcterms:created>
  <dcterms:modified xsi:type="dcterms:W3CDTF">2025-09-13T09:46:07Z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0x01010098970033F315F542A2D9640B7CC02236</vt:lpwstr>
  </property>
  <property fmtid="{D5CDD505-2E9C-101B-9397-08002B2CF9AE}" pid="3" name="MediaServiceImageTags">
    <vt:lpwstr/>
  </property>
</Properties>
</file>