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E6A6951" wp14:textId="77777777">
      <w:r>
        <w:t>Welcome to Chapter 3: Bridging the Energy Access Gap.</w:t>
      </w:r>
    </w:p>
    <w:p xmlns:wp14="http://schemas.microsoft.com/office/word/2010/wordml" w14:paraId="672A6659" wp14:textId="77777777"/>
    <w:p w:rsidR="70A8A762" w:rsidRDefault="70A8A762" w14:paraId="4F1809FA" w14:textId="7415C6B9">
      <w:r w:rsidR="70A8A762">
        <w:rPr/>
        <w:t xml:space="preserve">In this chapter, we will discuss specific actions that can help us build energy systems that revolve around well-being, sustainability, and justice. We will also discuss how innovations, policy, partnerships, and community-based approaches can help us get there. </w:t>
      </w:r>
    </w:p>
    <w:p xmlns:wp14="http://schemas.microsoft.com/office/word/2010/wordml" w14:paraId="0A37501D" wp14:textId="77777777"/>
    <w:p xmlns:wp14="http://schemas.microsoft.com/office/word/2010/wordml" w14:paraId="7A1D866F" wp14:textId="43FE83A9">
      <w:r w:rsidR="70A8A762">
        <w:rPr/>
        <w:t>We’ll</w:t>
      </w:r>
      <w:r w:rsidR="70A8A762">
        <w:rPr/>
        <w:t xml:space="preserve"> examine how an intersectional approach—considering gender, ethnicity, socioeconomic status, and geography—can transform energy policies to be more inclusive. For example, applying disaggregated data and targeted community engagement can significantly improve access for marginalized groups. </w:t>
      </w:r>
    </w:p>
    <w:p xmlns:wp14="http://schemas.microsoft.com/office/word/2010/wordml" w14:paraId="5DAB6C7B" wp14:textId="77777777"/>
    <w:p xmlns:wp14="http://schemas.microsoft.com/office/word/2010/wordml" w14:paraId="789CBBD5" wp14:textId="72DCDD39">
      <w:r w:rsidR="7AAA10DA">
        <w:rPr/>
        <w:t>We will also focus on t</w:t>
      </w:r>
      <w:r w:rsidR="688F4E21">
        <w:rPr/>
        <w:t>echnological solutions</w:t>
      </w:r>
      <w:r w:rsidR="34FFC650">
        <w:rPr/>
        <w:t>,</w:t>
      </w:r>
      <w:r w:rsidR="688F4E21">
        <w:rPr/>
        <w:t xml:space="preserve"> such as solar-powered </w:t>
      </w:r>
      <w:r w:rsidR="2587F91D">
        <w:rPr/>
        <w:t xml:space="preserve">mini grids. </w:t>
      </w:r>
      <w:r w:rsidR="76C29579">
        <w:rPr/>
        <w:t xml:space="preserve">Solar mini grids could provide high-quality uninterrupted electricity to </w:t>
      </w:r>
      <w:r w:rsidR="76C29579">
        <w:rPr/>
        <w:t>nearly half</w:t>
      </w:r>
      <w:r w:rsidR="76C29579">
        <w:rPr/>
        <w:t xml:space="preserve"> a billion people in unpowered or underserved communities by 2030.</w:t>
      </w:r>
    </w:p>
    <w:p xmlns:wp14="http://schemas.microsoft.com/office/word/2010/wordml" w:rsidP="70A8A762" w14:paraId="02EB378F" wp14:textId="1E7D7998">
      <w:pPr>
        <w:pStyle w:val="Normal"/>
      </w:pPr>
    </w:p>
    <w:p xmlns:wp14="http://schemas.microsoft.com/office/word/2010/wordml" w14:paraId="47BA24B8" wp14:textId="19AB53F0">
      <w:r w:rsidR="03818455">
        <w:rPr/>
        <w:t>Then, we will discuss</w:t>
      </w:r>
      <w:r w:rsidR="688F4E21">
        <w:rPr/>
        <w:t xml:space="preserve"> </w:t>
      </w:r>
      <w:r w:rsidR="0E61088C">
        <w:rPr/>
        <w:t xml:space="preserve">how </w:t>
      </w:r>
      <w:r w:rsidR="688F4E21">
        <w:rPr/>
        <w:t>financing mechanisms—like pay-as-you-go models and microfinancing</w:t>
      </w:r>
      <w:r w:rsidR="4DC2D035">
        <w:rPr/>
        <w:t xml:space="preserve"> — can </w:t>
      </w:r>
      <w:r w:rsidR="688F4E21">
        <w:rPr/>
        <w:t xml:space="preserve">help make energy services accessible to low-income households, farmers, and entrepreneurs. </w:t>
      </w:r>
    </w:p>
    <w:p xmlns:wp14="http://schemas.microsoft.com/office/word/2010/wordml" w14:paraId="6A05A809" wp14:textId="77777777"/>
    <w:p xmlns:wp14="http://schemas.microsoft.com/office/word/2010/wordml" w14:paraId="560A9DF6" wp14:textId="536033E2">
      <w:r w:rsidR="70A8A762">
        <w:rPr/>
        <w:t xml:space="preserve">Effective policy frameworks—through regulatory reforms, targeted subsidies, and tax incentives—are </w:t>
      </w:r>
      <w:r w:rsidR="08EA8FA6">
        <w:rPr/>
        <w:t xml:space="preserve">also </w:t>
      </w:r>
      <w:r w:rsidR="70A8A762">
        <w:rPr/>
        <w:t xml:space="preserve">essential. </w:t>
      </w:r>
      <w:r w:rsidR="7F8D783C">
        <w:rPr/>
        <w:t>For example, c</w:t>
      </w:r>
      <w:r w:rsidR="70A8A762">
        <w:rPr/>
        <w:t>ountries like Brazil have successfully expanded access via energy safety nets</w:t>
      </w:r>
      <w:r w:rsidR="401900F6">
        <w:rPr/>
        <w:t xml:space="preserve"> and other social policies.</w:t>
      </w:r>
    </w:p>
    <w:p xmlns:wp14="http://schemas.microsoft.com/office/word/2010/wordml" w14:paraId="5A39BBE3" wp14:textId="77777777"/>
    <w:p xmlns:wp14="http://schemas.microsoft.com/office/word/2010/wordml" w14:paraId="41C8F396" wp14:textId="55008DB0">
      <w:r w:rsidR="70A8A762">
        <w:rPr/>
        <w:t>Finally,</w:t>
      </w:r>
      <w:r w:rsidR="3A0D3B42">
        <w:rPr/>
        <w:t xml:space="preserve"> we will explore how</w:t>
      </w:r>
      <w:r w:rsidR="70A8A762">
        <w:rPr/>
        <w:t xml:space="preserve"> digital tools and artificial intelligence are revolutionizing how we plan, manage, and </w:t>
      </w:r>
      <w:r w:rsidR="70A8A762">
        <w:rPr/>
        <w:t>optimize</w:t>
      </w:r>
      <w:r w:rsidR="70A8A762">
        <w:rPr/>
        <w:t xml:space="preserve"> energy systems. Geospatial data platforms enable precise targeting of underserved areas, while AI-powered management improves system resilience and efficiency. </w:t>
      </w:r>
    </w:p>
    <w:p w:rsidR="70A8A762" w:rsidRDefault="70A8A762" w14:paraId="24592C6A" w14:textId="66602E95"/>
    <w:p w:rsidR="7CE944FE" w:rsidRDefault="7CE944FE" w14:paraId="6A6A0864" w14:textId="3BBE8D68">
      <w:r w:rsidR="3C606274">
        <w:rPr/>
        <w:t>In summary, bridging the energy access gap requires integrated strategies—combining technology, inclusive policies, innovative finance, and digital solutions—that focus on reaching the most vulnerable. This chapter will</w:t>
      </w:r>
      <w:r w:rsidR="3C606274">
        <w:rPr/>
        <w:t xml:space="preserve"> guide you through these opportunities, illustrating how coordinated efforts can turn ambition into action and truly leave no one behind.</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74D9A"/>
    <w:rsid w:val="00574D9A"/>
    <w:rsid w:val="00AA1D8D"/>
    <w:rsid w:val="00B47730"/>
    <w:rsid w:val="00CB0664"/>
    <w:rsid w:val="00FC693F"/>
    <w:rsid w:val="017DAB91"/>
    <w:rsid w:val="03818455"/>
    <w:rsid w:val="05AFF81E"/>
    <w:rsid w:val="08EA8FA6"/>
    <w:rsid w:val="09DDC0C2"/>
    <w:rsid w:val="0E61088C"/>
    <w:rsid w:val="1682F8CE"/>
    <w:rsid w:val="1FA2DFF4"/>
    <w:rsid w:val="209230DF"/>
    <w:rsid w:val="2587F91D"/>
    <w:rsid w:val="2B80EEB9"/>
    <w:rsid w:val="2B80EEB9"/>
    <w:rsid w:val="2E62BDFC"/>
    <w:rsid w:val="34FFC650"/>
    <w:rsid w:val="397D2A5B"/>
    <w:rsid w:val="3A0D3B42"/>
    <w:rsid w:val="3C606274"/>
    <w:rsid w:val="401900F6"/>
    <w:rsid w:val="41B01509"/>
    <w:rsid w:val="42D46BD7"/>
    <w:rsid w:val="4336A5F9"/>
    <w:rsid w:val="49035F3E"/>
    <w:rsid w:val="4AB0B15F"/>
    <w:rsid w:val="4AB0B15F"/>
    <w:rsid w:val="4DC2D035"/>
    <w:rsid w:val="66C38859"/>
    <w:rsid w:val="688F4E21"/>
    <w:rsid w:val="69D2D9F8"/>
    <w:rsid w:val="6CA8FFD6"/>
    <w:rsid w:val="70A8A762"/>
    <w:rsid w:val="76C29579"/>
    <w:rsid w:val="7A38681D"/>
    <w:rsid w:val="7A56EC7E"/>
    <w:rsid w:val="7AAA10DA"/>
    <w:rsid w:val="7CE944FE"/>
    <w:rsid w:val="7F8D78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98847AC-E528-4E12-8038-B3DBB7FCCA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2B525D7-F963-47B3-9571-FCEA6DED3824}"/>
</file>

<file path=customXml/itemProps3.xml><?xml version="1.0" encoding="utf-8"?>
<ds:datastoreItem xmlns:ds="http://schemas.openxmlformats.org/officeDocument/2006/customXml" ds:itemID="{69CAF659-F583-4B9D-BF8D-CFD4833F50C4}"/>
</file>

<file path=customXml/itemProps4.xml><?xml version="1.0" encoding="utf-8"?>
<ds:datastoreItem xmlns:ds="http://schemas.openxmlformats.org/officeDocument/2006/customXml" ds:itemID="{CE9B949F-C0D1-4C25-910D-732B03FC48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5</cp:revision>
  <dcterms:created xsi:type="dcterms:W3CDTF">2013-12-23T23:15:00Z</dcterms:created>
  <dcterms:modified xsi:type="dcterms:W3CDTF">2025-09-13T09:58:32Z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