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6918083" w:rsidP="3B7FC236" w:rsidRDefault="06918083" w14:paraId="7B5C5E47" w14:textId="6337D546">
      <w:pPr>
        <w:spacing w:before="240" w:beforeAutospacing="off" w:after="240" w:afterAutospacing="off"/>
      </w:pPr>
      <w:r w:rsidRPr="3B7FC236" w:rsidR="06918083">
        <w:rPr>
          <w:rFonts w:ascii="Cambria" w:hAnsi="Cambria" w:eastAsia="Cambria" w:cs="Cambria"/>
          <w:b w:val="1"/>
          <w:bCs w:val="1"/>
          <w:noProof w:val="0"/>
          <w:sz w:val="22"/>
          <w:szCs w:val="22"/>
          <w:lang w:val="en-US"/>
        </w:rPr>
        <w:t>Welcome to Chapter One: Introduction to the Energy Transition Landscape.</w:t>
      </w:r>
    </w:p>
    <w:p w:rsidR="06918083" w:rsidP="3B7FC236" w:rsidRDefault="06918083" w14:paraId="0331B17D" w14:textId="69CA3B96">
      <w:pPr>
        <w:spacing w:before="240" w:beforeAutospacing="off" w:after="240" w:afterAutospacing="off"/>
      </w:pPr>
      <w:r w:rsidRPr="3B7FC236" w:rsidR="06918083">
        <w:rPr>
          <w:rFonts w:ascii="Cambria" w:hAnsi="Cambria" w:eastAsia="Cambria" w:cs="Cambria"/>
          <w:noProof w:val="0"/>
          <w:sz w:val="22"/>
          <w:szCs w:val="22"/>
          <w:lang w:val="en-US"/>
        </w:rPr>
        <w:t>Energy systems worldwide are undergoing profound change. Climate urgency and falling renewable costs have made the energy transition central to global policy and investment. The decade from 2020 to 2030 is decisive for limiting warming to 1.5°C, with today’s choices shaping energy for generations.</w:t>
      </w:r>
    </w:p>
    <w:p w:rsidR="06918083" w:rsidP="3B7FC236" w:rsidRDefault="06918083" w14:paraId="692BED95" w14:textId="4F545AFF">
      <w:pPr>
        <w:spacing w:before="240" w:beforeAutospacing="off" w:after="240" w:afterAutospacing="off"/>
      </w:pPr>
      <w:r w:rsidRPr="3B7FC236" w:rsidR="06918083">
        <w:rPr>
          <w:rFonts w:ascii="Cambria" w:hAnsi="Cambria" w:eastAsia="Cambria" w:cs="Cambria"/>
          <w:noProof w:val="0"/>
          <w:sz w:val="22"/>
          <w:szCs w:val="22"/>
          <w:lang w:val="en-US"/>
        </w:rPr>
        <w:t>Progress is accelerating. In 2024, more than gigawatts of renewable power were added—the largest annual increase on record. Solar and wind lead this growth, supported by advances in storage and grids. Fossil fuels are steadily giving way to cleaner sources.</w:t>
      </w:r>
    </w:p>
    <w:p w:rsidR="06918083" w:rsidP="3B7FC236" w:rsidRDefault="06918083" w14:paraId="1883FA29" w14:textId="1F73B05F">
      <w:pPr>
        <w:spacing w:before="240" w:beforeAutospacing="off" w:after="240" w:afterAutospacing="off"/>
      </w:pPr>
      <w:r w:rsidRPr="3B7FC236" w:rsidR="06918083">
        <w:rPr>
          <w:rFonts w:ascii="Cambria" w:hAnsi="Cambria" w:eastAsia="Cambria" w:cs="Cambria"/>
          <w:noProof w:val="0"/>
          <w:sz w:val="22"/>
          <w:szCs w:val="22"/>
          <w:lang w:val="en-US"/>
        </w:rPr>
        <w:t xml:space="preserve">A </w:t>
      </w:r>
      <w:r w:rsidRPr="3B7FC236" w:rsidR="06918083">
        <w:rPr>
          <w:rFonts w:ascii="Cambria" w:hAnsi="Cambria" w:eastAsia="Cambria" w:cs="Cambria"/>
          <w:i w:val="1"/>
          <w:iCs w:val="1"/>
          <w:noProof w:val="0"/>
          <w:sz w:val="22"/>
          <w:szCs w:val="22"/>
          <w:lang w:val="en-US"/>
        </w:rPr>
        <w:t>just transition</w:t>
      </w:r>
      <w:r w:rsidRPr="3B7FC236" w:rsidR="06918083">
        <w:rPr>
          <w:rFonts w:ascii="Cambria" w:hAnsi="Cambria" w:eastAsia="Cambria" w:cs="Cambria"/>
          <w:noProof w:val="0"/>
          <w:sz w:val="22"/>
          <w:szCs w:val="22"/>
          <w:lang w:val="en-US"/>
        </w:rPr>
        <w:t xml:space="preserve"> ensures this shift is environmentally sustainable, socially inclusive, and economically fair. It addresses past inequities by supporting workers and communities dependent on fossil fuels, while ensuring the benefits of clean energy—jobs, health, affordable access—reach all, especially those historically left behind.</w:t>
      </w:r>
    </w:p>
    <w:p w:rsidR="06918083" w:rsidP="3B7FC236" w:rsidRDefault="06918083" w14:paraId="7AADB413" w14:textId="0B01559B">
      <w:pPr>
        <w:spacing w:before="240" w:beforeAutospacing="off" w:after="240" w:afterAutospacing="off"/>
      </w:pPr>
      <w:r w:rsidRPr="3B7FC236" w:rsidR="06918083">
        <w:rPr>
          <w:rFonts w:ascii="Cambria" w:hAnsi="Cambria" w:eastAsia="Cambria" w:cs="Cambria"/>
          <w:noProof w:val="0"/>
          <w:sz w:val="22"/>
          <w:szCs w:val="22"/>
          <w:lang w:val="en-US"/>
        </w:rPr>
        <w:t>Strong governance is critical. Beyond building infrastructure, policies and institutions must anticipate risks and share opportunities equitably. This includes workforce training, debt-sensitive finance for developing countries, and community participation in decisions.</w:t>
      </w:r>
    </w:p>
    <w:p w:rsidR="06918083" w:rsidP="3B7FC236" w:rsidRDefault="06918083" w14:paraId="6556F677" w14:textId="6DDD42A1">
      <w:pPr>
        <w:spacing w:before="240" w:beforeAutospacing="off" w:after="240" w:afterAutospacing="off"/>
      </w:pPr>
      <w:r w:rsidRPr="3B7FC236" w:rsidR="06918083">
        <w:rPr>
          <w:rFonts w:ascii="Cambria" w:hAnsi="Cambria" w:eastAsia="Cambria" w:cs="Cambria"/>
          <w:noProof w:val="0"/>
          <w:sz w:val="22"/>
          <w:szCs w:val="22"/>
          <w:lang w:val="en-US"/>
        </w:rPr>
        <w:t>Challenges are greatest in the Global South, where countries must reduce fossil reliance while expanding electricity access and managing land and water pressures. Many also aim to capture opportunities in critical minerals and renewable industries—goals requiring ambitious, context-specific strategies.</w:t>
      </w:r>
    </w:p>
    <w:p w:rsidR="06918083" w:rsidP="3B7FC236" w:rsidRDefault="06918083" w14:paraId="239CC32C" w14:textId="4DA8471A">
      <w:pPr>
        <w:spacing w:before="240" w:beforeAutospacing="off" w:after="240" w:afterAutospacing="off"/>
      </w:pPr>
      <w:r w:rsidRPr="3B7FC236" w:rsidR="06918083">
        <w:rPr>
          <w:rFonts w:ascii="Cambria" w:hAnsi="Cambria" w:eastAsia="Cambria" w:cs="Cambria"/>
          <w:noProof w:val="0"/>
          <w:sz w:val="22"/>
          <w:szCs w:val="22"/>
          <w:lang w:val="en-US"/>
        </w:rPr>
        <w:t>This chapter introduces the main drivers of the global energy transition, the actors shaping it, and why equity and inclusion are now core to energy policy. It lays the foundation for exploring the opportunities and trade-offs of a just transition.</w:t>
      </w:r>
    </w:p>
    <w:p w:rsidR="3B7FC236" w:rsidP="3B7FC236" w:rsidRDefault="3B7FC236" w14:paraId="7203A538" w14:textId="0DE8C199">
      <w:pPr>
        <w:pStyle w:val="Normal"/>
        <w:rPr>
          <w:b w:val="0"/>
          <w:bCs w:val="0"/>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9ED36"/>
    <w:rsid w:val="06918083"/>
    <w:rsid w:val="0D4C6756"/>
    <w:rsid w:val="10E20D83"/>
    <w:rsid w:val="2457144B"/>
    <w:rsid w:val="2922D16E"/>
    <w:rsid w:val="32F59F17"/>
    <w:rsid w:val="386287D8"/>
    <w:rsid w:val="3B7FC236"/>
    <w:rsid w:val="59816A01"/>
    <w:rsid w:val="6665670F"/>
    <w:rsid w:val="6F6E1E83"/>
    <w:rsid w:val="70B41752"/>
    <w:rsid w:val="7543F21F"/>
    <w:rsid w:val="7D6BD247"/>
    <w:rsid w:val="7F3D0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F8BDC63-D9D0-4C10-8B67-6A91CAD9B1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D695605-A402-4AEF-8530-69ECB59F97D5}"/>
</file>

<file path=customXml/itemProps3.xml><?xml version="1.0" encoding="utf-8"?>
<ds:datastoreItem xmlns:ds="http://schemas.openxmlformats.org/officeDocument/2006/customXml" ds:itemID="{9E9547C3-8B48-4118-89F5-C847CC9AED65}"/>
</file>

<file path=customXml/itemProps4.xml><?xml version="1.0" encoding="utf-8"?>
<ds:datastoreItem xmlns:ds="http://schemas.openxmlformats.org/officeDocument/2006/customXml" ds:itemID="{82049606-7C2F-49B9-86C3-E4CBC551263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4</cp:revision>
  <dcterms:created xsi:type="dcterms:W3CDTF">2013-12-23T23:15:00Z</dcterms:created>
  <dcterms:modified xsi:type="dcterms:W3CDTF">2025-09-13T20:57:01Z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5" name="docLang">
    <vt:lpwstr>en</vt:lpwstr>
  </property>
</Properties>
</file>