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BADAB02" w:rsidP="7BADAB02" w:rsidRDefault="7BADAB02" w14:paraId="4113DF60" w14:textId="26D8079D">
      <w:pPr>
        <w:spacing w:before="240" w:beforeAutospacing="off" w:after="240" w:afterAutospacing="off"/>
      </w:pPr>
      <w:r w:rsidR="7BADAB02">
        <w:rPr/>
        <w:t>Welcome to Chapter 2: Approaches to Planning, Monitoring, and Evaluation in Sustainable Energy.</w:t>
      </w:r>
    </w:p>
    <w:p w:rsidR="7BADAB02" w:rsidP="480BB3DC" w:rsidRDefault="7BADAB02" w14:paraId="4539165F" w14:textId="719C7FAD">
      <w:pPr>
        <w:spacing w:before="0" w:beforeAutospacing="off" w:after="240" w:afterAutospacing="off"/>
      </w:pPr>
      <w:r w:rsidRPr="480BB3DC" w:rsidR="068D4203">
        <w:rPr>
          <w:rFonts w:ascii="Cambria" w:hAnsi="Cambria" w:eastAsia="Cambria" w:cs="Cambria"/>
          <w:noProof w:val="0"/>
          <w:sz w:val="22"/>
          <w:szCs w:val="22"/>
          <w:lang w:val="en-US"/>
        </w:rPr>
        <w:t>In this chapter, we focus on the data tools and methods that convert energy goals into measurable outcomes.</w:t>
      </w:r>
    </w:p>
    <w:p w:rsidR="7BADAB02" w:rsidP="480BB3DC" w:rsidRDefault="7BADAB02" w14:paraId="6D011974" w14:textId="66533D71">
      <w:pPr>
        <w:spacing w:before="240" w:beforeAutospacing="off" w:after="240" w:afterAutospacing="off"/>
      </w:pPr>
      <w:r w:rsidRPr="480BB3DC" w:rsidR="068D4203">
        <w:rPr>
          <w:rFonts w:ascii="Cambria" w:hAnsi="Cambria" w:eastAsia="Cambria" w:cs="Cambria"/>
          <w:noProof w:val="0"/>
          <w:sz w:val="22"/>
          <w:szCs w:val="22"/>
          <w:lang w:val="en-US"/>
        </w:rPr>
        <w:t xml:space="preserve">At the policy level, effective planning requires more than setting broad targets. It depends on detailed resource assessments, engagement with stakeholders, and the integration of suitable technologies into structured frameworks. Morocco </w:t>
      </w:r>
      <w:r w:rsidRPr="480BB3DC" w:rsidR="068D4203">
        <w:rPr>
          <w:rFonts w:ascii="Cambria" w:hAnsi="Cambria" w:eastAsia="Cambria" w:cs="Cambria"/>
          <w:noProof w:val="0"/>
          <w:sz w:val="22"/>
          <w:szCs w:val="22"/>
          <w:lang w:val="en-US"/>
        </w:rPr>
        <w:t>provides</w:t>
      </w:r>
      <w:r w:rsidRPr="480BB3DC" w:rsidR="068D4203">
        <w:rPr>
          <w:rFonts w:ascii="Cambria" w:hAnsi="Cambria" w:eastAsia="Cambria" w:cs="Cambria"/>
          <w:noProof w:val="0"/>
          <w:sz w:val="22"/>
          <w:szCs w:val="22"/>
          <w:lang w:val="en-US"/>
        </w:rPr>
        <w:t xml:space="preserve"> a clear example: the country applies modeling platforms such as </w:t>
      </w:r>
      <w:r w:rsidRPr="480BB3DC" w:rsidR="068D4203">
        <w:rPr>
          <w:rFonts w:ascii="Cambria" w:hAnsi="Cambria" w:eastAsia="Cambria" w:cs="Cambria"/>
          <w:noProof w:val="0"/>
          <w:sz w:val="22"/>
          <w:szCs w:val="22"/>
          <w:lang w:val="en-US"/>
        </w:rPr>
        <w:t>OSeMOSYS</w:t>
      </w:r>
      <w:r w:rsidRPr="480BB3DC" w:rsidR="068D4203">
        <w:rPr>
          <w:rFonts w:ascii="Cambria" w:hAnsi="Cambria" w:eastAsia="Cambria" w:cs="Cambria"/>
          <w:noProof w:val="0"/>
          <w:sz w:val="22"/>
          <w:szCs w:val="22"/>
          <w:lang w:val="en-US"/>
        </w:rPr>
        <w:t xml:space="preserve"> to design a pathway toward a renewable power mix of ninety-two percent by </w:t>
      </w:r>
      <w:r w:rsidRPr="480BB3DC" w:rsidR="3495C6EF">
        <w:rPr>
          <w:rFonts w:ascii="Cambria" w:hAnsi="Cambria" w:eastAsia="Cambria" w:cs="Cambria"/>
          <w:noProof w:val="0"/>
          <w:sz w:val="22"/>
          <w:szCs w:val="22"/>
          <w:lang w:val="en-US"/>
        </w:rPr>
        <w:t>2050</w:t>
      </w:r>
      <w:r w:rsidRPr="480BB3DC" w:rsidR="068D4203">
        <w:rPr>
          <w:rFonts w:ascii="Cambria" w:hAnsi="Cambria" w:eastAsia="Cambria" w:cs="Cambria"/>
          <w:noProof w:val="0"/>
          <w:sz w:val="22"/>
          <w:szCs w:val="22"/>
          <w:lang w:val="en-US"/>
        </w:rPr>
        <w:t xml:space="preserve">. This </w:t>
      </w:r>
      <w:r w:rsidRPr="480BB3DC" w:rsidR="068D4203">
        <w:rPr>
          <w:rFonts w:ascii="Cambria" w:hAnsi="Cambria" w:eastAsia="Cambria" w:cs="Cambria"/>
          <w:noProof w:val="0"/>
          <w:sz w:val="22"/>
          <w:szCs w:val="22"/>
          <w:lang w:val="en-US"/>
        </w:rPr>
        <w:t>demonstrates</w:t>
      </w:r>
      <w:r w:rsidRPr="480BB3DC" w:rsidR="068D4203">
        <w:rPr>
          <w:rFonts w:ascii="Cambria" w:hAnsi="Cambria" w:eastAsia="Cambria" w:cs="Cambria"/>
          <w:noProof w:val="0"/>
          <w:sz w:val="22"/>
          <w:szCs w:val="22"/>
          <w:lang w:val="en-US"/>
        </w:rPr>
        <w:t xml:space="preserve"> how rigorous data-based approaches can guide governments in preparing realistic transition strategies.</w:t>
      </w:r>
    </w:p>
    <w:p w:rsidR="7BADAB02" w:rsidP="480BB3DC" w:rsidRDefault="7BADAB02" w14:paraId="77A4DDC7" w14:textId="375CA192">
      <w:pPr>
        <w:spacing w:before="240" w:beforeAutospacing="off" w:after="240" w:afterAutospacing="off"/>
      </w:pPr>
      <w:r w:rsidRPr="480BB3DC" w:rsidR="068D4203">
        <w:rPr>
          <w:rFonts w:ascii="Cambria" w:hAnsi="Cambria" w:eastAsia="Cambria" w:cs="Cambria"/>
          <w:noProof w:val="0"/>
          <w:sz w:val="22"/>
          <w:szCs w:val="22"/>
          <w:lang w:val="en-US"/>
        </w:rPr>
        <w:t>Project planning, monitoring, and evaluation are equally central. Transparent and participatory processes strengthen accountability and allow timely adjustments. In the Pacific, the Solomon Islands adopted evidence-based measures that reduced gender disparities while expanding mobile money access to more than three hundred thousand people. This case illustrates how localized data can be applied to create solutions that respond to the needs of specific communities.</w:t>
      </w:r>
    </w:p>
    <w:p w:rsidR="7BADAB02" w:rsidP="480BB3DC" w:rsidRDefault="7BADAB02" w14:paraId="1D05936A" w14:textId="3EB38C54">
      <w:pPr>
        <w:spacing w:before="240" w:beforeAutospacing="off" w:after="240" w:afterAutospacing="off"/>
      </w:pPr>
      <w:r w:rsidRPr="480BB3DC" w:rsidR="068D4203">
        <w:rPr>
          <w:rFonts w:ascii="Cambria" w:hAnsi="Cambria" w:eastAsia="Cambria" w:cs="Cambria"/>
          <w:noProof w:val="0"/>
          <w:sz w:val="22"/>
          <w:szCs w:val="22"/>
          <w:lang w:val="en-US"/>
        </w:rPr>
        <w:t>Incorporating gender and intersectional perspectives into energy planning is essential. Disaggregated data by sex and identity expose persistent inequities in access, yet as of two thousand twenty-three, only a minority of policies include this dimension. Broadening the participation of women and marginalized groups in decision-making is a proven way to address systemic barriers and to ensure that transitions distribute benefits more fairly.</w:t>
      </w:r>
    </w:p>
    <w:p w:rsidR="7BADAB02" w:rsidP="480BB3DC" w:rsidRDefault="7BADAB02" w14:paraId="003D27B9" w14:textId="79A704F7">
      <w:pPr>
        <w:spacing w:before="0" w:beforeAutospacing="off" w:after="240" w:afterAutospacing="off"/>
      </w:pPr>
      <w:r w:rsidRPr="480BB3DC" w:rsidR="68B1D043">
        <w:rPr>
          <w:rFonts w:ascii="Cambria" w:hAnsi="Cambria" w:eastAsia="Cambria" w:cs="Cambria"/>
          <w:noProof w:val="0"/>
          <w:sz w:val="22"/>
          <w:szCs w:val="22"/>
          <w:lang w:val="en-US"/>
        </w:rPr>
        <w:t>As we move forward, this chapter highlights practical ways to use data as a bridge between long-term policy targets and day-to-day project realities. The focus is on applying evidence to close access gaps, design responsive systems, and ensure that benefits are shared more equitably.</w:t>
      </w:r>
    </w:p>
    <w:p w:rsidR="7BADAB02" w:rsidP="480BB3DC" w:rsidRDefault="7BADAB02" w14:paraId="2C8C9798" w14:textId="027F0EF7">
      <w:pPr>
        <w:spacing w:before="240" w:beforeAutospacing="off" w:after="240" w:afterAutospacing="off"/>
      </w:pPr>
      <w:r w:rsidRPr="480BB3DC" w:rsidR="68B1D043">
        <w:rPr>
          <w:rFonts w:ascii="Cambria" w:hAnsi="Cambria" w:eastAsia="Cambria" w:cs="Cambria"/>
          <w:noProof w:val="0"/>
          <w:sz w:val="22"/>
          <w:szCs w:val="22"/>
          <w:lang w:val="en-US"/>
        </w:rPr>
        <w:t>The approaches we explore here set the stage for building energy projects that are accountable, adaptable, and grounded in real needs.</w:t>
      </w:r>
    </w:p>
    <w:sectPr w:rsidRPr="0006063C" w:rsidR="00FC693F" w:rsidSect="00034616">
      <w:pgSz w:w="12240" w:h="15840" w:orient="portrait"/>
      <w:pgMar w:top="1440" w:right="1800" w:bottom="1440" w:left="180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3B5186"/>
    <w:rsid w:val="0408A229"/>
    <w:rsid w:val="068D4203"/>
    <w:rsid w:val="0ADFEE78"/>
    <w:rsid w:val="101B4DAD"/>
    <w:rsid w:val="212F1C09"/>
    <w:rsid w:val="23BBD33E"/>
    <w:rsid w:val="2512020A"/>
    <w:rsid w:val="25121CDD"/>
    <w:rsid w:val="2AB6FC25"/>
    <w:rsid w:val="2CB81880"/>
    <w:rsid w:val="307399C7"/>
    <w:rsid w:val="3152DE5F"/>
    <w:rsid w:val="3495C6EF"/>
    <w:rsid w:val="4592F0DE"/>
    <w:rsid w:val="480BB3DC"/>
    <w:rsid w:val="49D1185D"/>
    <w:rsid w:val="4D6C9887"/>
    <w:rsid w:val="4EA74F04"/>
    <w:rsid w:val="51609620"/>
    <w:rsid w:val="51B1DF4A"/>
    <w:rsid w:val="5A435ED0"/>
    <w:rsid w:val="5DA863B5"/>
    <w:rsid w:val="636DE6E6"/>
    <w:rsid w:val="684B010E"/>
    <w:rsid w:val="68B1D043"/>
    <w:rsid w:val="76D76DC6"/>
    <w:rsid w:val="7899C185"/>
    <w:rsid w:val="7BADAB02"/>
    <w:rsid w:val="7F1D43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38E1892-01CA-4CFD-99C1-DA64CC993F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 Type="http://schemas.microsoft.com/office/2016/09/relationships/commentsIds" Target="commentsIds.xml" Id="R0cf385e3579b4295" /><Relationship Type="http://schemas.microsoft.com/office/2011/relationships/commentsExtended" Target="commentsExtended.xml" Id="R3ce4c543e7f94275" /><Relationship Type="http://schemas.microsoft.com/office/2011/relationships/people" Target="people.xml" Id="R9e004ab1408c42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AAE585E-639B-487E-BB70-99556BC6F711}"/>
</file>

<file path=customXml/itemProps3.xml><?xml version="1.0" encoding="utf-8"?>
<ds:datastoreItem xmlns:ds="http://schemas.openxmlformats.org/officeDocument/2006/customXml" ds:itemID="{7EC15136-8B95-43CB-8C92-BCE4E1B63846}"/>
</file>

<file path=customXml/itemProps4.xml><?xml version="1.0" encoding="utf-8"?>
<ds:datastoreItem xmlns:ds="http://schemas.openxmlformats.org/officeDocument/2006/customXml" ds:itemID="{8B1C3FF3-1B46-40D5-857B-AF75C87E93D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Danae franco Lopera</lastModifiedBy>
  <revision>8</revision>
  <dcterms:created xsi:type="dcterms:W3CDTF">2013-12-23T23:15:00.0000000Z</dcterms:created>
  <dcterms:modified xsi:type="dcterms:W3CDTF">2025-09-13T17:25:34.0501866Z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