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C77474D" w:rsidP="6192D5F2" w:rsidRDefault="0C77474D" w14:paraId="230A6595" w14:textId="424E834A">
      <w:pPr>
        <w:spacing w:before="240" w:beforeAutospacing="off" w:after="240" w:afterAutospacing="off"/>
      </w:pPr>
      <w:r w:rsidRPr="6192D5F2" w:rsidR="0C77474D">
        <w:rPr>
          <w:rFonts w:ascii="Cambria" w:hAnsi="Cambria" w:eastAsia="Cambria" w:cs="Cambria"/>
          <w:b w:val="1"/>
          <w:bCs w:val="1"/>
          <w:noProof w:val="0"/>
          <w:sz w:val="22"/>
          <w:szCs w:val="22"/>
          <w:lang w:val="en-US"/>
        </w:rPr>
        <w:t>Welcome to Chapter 2: Creating an Enabling Environment for an Innovation-Driven Energy Transition.</w:t>
      </w:r>
    </w:p>
    <w:p w:rsidR="0C77474D" w:rsidP="6192D5F2" w:rsidRDefault="0C77474D" w14:paraId="593FD1EB" w14:textId="5D350BF7">
      <w:pPr>
        <w:spacing w:before="240" w:beforeAutospacing="off" w:after="240" w:afterAutospacing="off"/>
      </w:pPr>
      <w:r w:rsidRPr="6192D5F2" w:rsidR="0C77474D">
        <w:rPr>
          <w:rFonts w:ascii="Cambria" w:hAnsi="Cambria" w:eastAsia="Cambria" w:cs="Cambria"/>
          <w:noProof w:val="0"/>
          <w:sz w:val="22"/>
          <w:szCs w:val="22"/>
          <w:lang w:val="en-US"/>
        </w:rPr>
        <w:t>Driving innovation in energy requires the right conditions: effective policies, emerging sectors, and inclusive frameworks that make the transition clean, resilient, and fair.</w:t>
      </w:r>
    </w:p>
    <w:p w:rsidR="0C77474D" w:rsidP="6192D5F2" w:rsidRDefault="0C77474D" w14:paraId="1CAA605B" w14:textId="719584E7">
      <w:pPr>
        <w:spacing w:before="240" w:beforeAutospacing="off" w:after="240" w:afterAutospacing="off"/>
      </w:pPr>
      <w:r w:rsidRPr="6192D5F2" w:rsidR="0C77474D">
        <w:rPr>
          <w:rFonts w:ascii="Cambria" w:hAnsi="Cambria" w:eastAsia="Cambria" w:cs="Cambria"/>
          <w:noProof w:val="0"/>
          <w:sz w:val="22"/>
          <w:szCs w:val="22"/>
          <w:lang w:val="en-US"/>
        </w:rPr>
        <w:t>Policy and market mechanisms are at the core. Well-designed tools — such as carbon pricing, emissions trading, and targeted incentives — help overcome barriers, attract private capital, and spark innovation across the technology lifecycle. A strategic balance of “technology-push” measures, like subsidies or tax credits, and “market-pull” measures, such as standards and procurement, ensures progress while adapting to each country’s context.</w:t>
      </w:r>
    </w:p>
    <w:p w:rsidR="0C77474D" w:rsidP="6192D5F2" w:rsidRDefault="0C77474D" w14:paraId="735D2BF4" w14:textId="3F7832BC">
      <w:pPr>
        <w:spacing w:before="240" w:beforeAutospacing="off" w:after="240" w:afterAutospacing="off"/>
      </w:pPr>
      <w:r w:rsidRPr="6192D5F2" w:rsidR="0C77474D">
        <w:rPr>
          <w:rFonts w:ascii="Cambria" w:hAnsi="Cambria" w:eastAsia="Cambria" w:cs="Cambria"/>
          <w:noProof w:val="0"/>
          <w:sz w:val="22"/>
          <w:szCs w:val="22"/>
          <w:lang w:val="en-US"/>
        </w:rPr>
        <w:t xml:space="preserve">Emerging sectors are reshaping possibilities. Distributed solutions like community solar and microgrids are expanding rapidly — with community installations growing by more than </w:t>
      </w:r>
      <w:r w:rsidRPr="6192D5F2" w:rsidR="0C77474D">
        <w:rPr>
          <w:rFonts w:ascii="Cambria" w:hAnsi="Cambria" w:eastAsia="Cambria" w:cs="Cambria"/>
          <w:b w:val="1"/>
          <w:bCs w:val="1"/>
          <w:noProof w:val="0"/>
          <w:sz w:val="22"/>
          <w:szCs w:val="22"/>
          <w:lang w:val="en-US"/>
        </w:rPr>
        <w:t>20% in 2023</w:t>
      </w:r>
      <w:r w:rsidRPr="6192D5F2" w:rsidR="0C77474D">
        <w:rPr>
          <w:rFonts w:ascii="Cambria" w:hAnsi="Cambria" w:eastAsia="Cambria" w:cs="Cambria"/>
          <w:noProof w:val="0"/>
          <w:sz w:val="22"/>
          <w:szCs w:val="22"/>
          <w:lang w:val="en-US"/>
        </w:rPr>
        <w:t xml:space="preserve"> — improving both access and resilience. New technologies, including peer-to-peer energy trading, blockchain platforms, next-generation solar cells, and ocean energy, hold particular promise. For small island and coastal states, innovations like tidal and floating solar can diversify the energy mix, strengthen resilience, and align with blue economy goals — if supported by targeted policies and investment.</w:t>
      </w:r>
    </w:p>
    <w:p w:rsidR="0C77474D" w:rsidP="6192D5F2" w:rsidRDefault="0C77474D" w14:paraId="4C1E3C8C" w14:textId="601AFF89">
      <w:pPr>
        <w:spacing w:before="240" w:beforeAutospacing="off" w:after="240" w:afterAutospacing="off"/>
      </w:pPr>
      <w:r w:rsidRPr="6192D5F2" w:rsidR="0C77474D">
        <w:rPr>
          <w:rFonts w:ascii="Cambria" w:hAnsi="Cambria" w:eastAsia="Cambria" w:cs="Cambria"/>
          <w:noProof w:val="0"/>
          <w:sz w:val="22"/>
          <w:szCs w:val="22"/>
          <w:lang w:val="en-US"/>
        </w:rPr>
        <w:t>Equally important are models of local ownership. Energy cooperatives empower communities to pool resources, invest in shared renewable projects, and gain more control over their energy supply. These models democratize access, create local jobs, and keep revenues within communities, while building long-term resilience in rural and underserved areas.</w:t>
      </w:r>
    </w:p>
    <w:p w:rsidR="0C77474D" w:rsidP="6192D5F2" w:rsidRDefault="0C77474D" w14:paraId="6ABE4801" w14:textId="7EA1E3CB">
      <w:pPr>
        <w:spacing w:before="240" w:beforeAutospacing="off" w:after="240" w:afterAutospacing="off"/>
      </w:pPr>
      <w:r w:rsidRPr="6192D5F2" w:rsidR="0C77474D">
        <w:rPr>
          <w:rFonts w:ascii="Cambria" w:hAnsi="Cambria" w:eastAsia="Cambria" w:cs="Cambria"/>
          <w:noProof w:val="0"/>
          <w:sz w:val="22"/>
          <w:szCs w:val="22"/>
          <w:lang w:val="en-US"/>
        </w:rPr>
        <w:t>Finally, inclusivity is essential. Approaches that integrate gender, socioeconomic, and local perspectives ensure that transitions benefit the most vulnerable. Case studies from Eswatini show how co-designed, equitable policies can generate more sustainable and just outcomes.</w:t>
      </w:r>
    </w:p>
    <w:p w:rsidR="0C77474D" w:rsidP="6192D5F2" w:rsidRDefault="0C77474D" w14:paraId="706A3531" w14:textId="158A248D">
      <w:pPr>
        <w:spacing w:before="240" w:beforeAutospacing="off" w:after="240" w:afterAutospacing="off"/>
      </w:pPr>
      <w:r w:rsidRPr="6192D5F2" w:rsidR="0C77474D">
        <w:rPr>
          <w:rFonts w:ascii="Cambria" w:hAnsi="Cambria" w:eastAsia="Cambria" w:cs="Cambria"/>
          <w:noProof w:val="0"/>
          <w:sz w:val="22"/>
          <w:szCs w:val="22"/>
          <w:lang w:val="en-US"/>
        </w:rPr>
        <w:t>In summary, creating an enabling environment means integrating smart governance, emerging technologies, and inclusive frameworks. Together, these elements accelerate innovation and ensure the energy transition is not only rapid, but also equitable and lasting.</w:t>
      </w:r>
    </w:p>
    <w:p w:rsidR="6192D5F2" w:rsidRDefault="6192D5F2" w14:paraId="7749E0FC" w14:textId="5FD10E33"/>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198F"/>
    <w:rsid w:val="0029639D"/>
    <w:rsid w:val="00326F90"/>
    <w:rsid w:val="00AA1D8D"/>
    <w:rsid w:val="00B47730"/>
    <w:rsid w:val="00CB0664"/>
    <w:rsid w:val="00FC693F"/>
    <w:rsid w:val="022AB4AF"/>
    <w:rsid w:val="0232188B"/>
    <w:rsid w:val="025558A4"/>
    <w:rsid w:val="0A2E47CA"/>
    <w:rsid w:val="0BBE4319"/>
    <w:rsid w:val="0C77474D"/>
    <w:rsid w:val="0C9232AC"/>
    <w:rsid w:val="0F3FC953"/>
    <w:rsid w:val="0F3FC953"/>
    <w:rsid w:val="13E1CDBD"/>
    <w:rsid w:val="14C53928"/>
    <w:rsid w:val="15F62540"/>
    <w:rsid w:val="16BB1C92"/>
    <w:rsid w:val="17387F22"/>
    <w:rsid w:val="18E128A3"/>
    <w:rsid w:val="1BD3FC0D"/>
    <w:rsid w:val="1BF68652"/>
    <w:rsid w:val="1C1DA7B0"/>
    <w:rsid w:val="1C1DA7B0"/>
    <w:rsid w:val="1FF3B460"/>
    <w:rsid w:val="24197FB3"/>
    <w:rsid w:val="31759663"/>
    <w:rsid w:val="33F0EEC7"/>
    <w:rsid w:val="36F791DF"/>
    <w:rsid w:val="3C7E4601"/>
    <w:rsid w:val="4326721F"/>
    <w:rsid w:val="434D06E9"/>
    <w:rsid w:val="4F357007"/>
    <w:rsid w:val="50BF5581"/>
    <w:rsid w:val="540EA62A"/>
    <w:rsid w:val="55937DEF"/>
    <w:rsid w:val="55937DEF"/>
    <w:rsid w:val="56ED0C7C"/>
    <w:rsid w:val="571EF7A5"/>
    <w:rsid w:val="5B55E1CF"/>
    <w:rsid w:val="5C5E31FD"/>
    <w:rsid w:val="5C5E31FD"/>
    <w:rsid w:val="6192D5F2"/>
    <w:rsid w:val="624FC544"/>
    <w:rsid w:val="62DF023F"/>
    <w:rsid w:val="65219161"/>
    <w:rsid w:val="673C9FD0"/>
    <w:rsid w:val="679E5812"/>
    <w:rsid w:val="68C7FB46"/>
    <w:rsid w:val="6A0BA994"/>
    <w:rsid w:val="702632A1"/>
    <w:rsid w:val="75BACB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A779762-3D6B-45BF-8E8D-D5621D0981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4D595D2-36BC-4D55-A0C5-4AE8EE830CA6}"/>
</file>

<file path=customXml/itemProps3.xml><?xml version="1.0" encoding="utf-8"?>
<ds:datastoreItem xmlns:ds="http://schemas.openxmlformats.org/officeDocument/2006/customXml" ds:itemID="{22BAC1D5-DF59-470D-8EF9-57229AEC3251}"/>
</file>

<file path=customXml/itemProps4.xml><?xml version="1.0" encoding="utf-8"?>
<ds:datastoreItem xmlns:ds="http://schemas.openxmlformats.org/officeDocument/2006/customXml" ds:itemID="{EAE22E12-F382-4468-B469-12EBB20A44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Benjamin Keller</lastModifiedBy>
  <revision>7</revision>
  <dcterms:created xsi:type="dcterms:W3CDTF">2013-12-23T23:15:00.0000000Z</dcterms:created>
  <dcterms:modified xsi:type="dcterms:W3CDTF">2025-09-13T11:05:27.4609570Z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