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2: Interconexiones entre la Energía y Otros Objetivos de Desarrollo Sostenible.  </w:t>
      </w:r>
    </w:p>
    <w:p>
      <w:r>
        <w:t xml:space="preserve">La energía es más que un objetivo único; es el hilo que impulsa el progreso en todos ellos. Desde escuelas y hospitales hasta agua limpia, alimentos y empleos, la energía moderna y confiable transforma vidas.  </w:t>
      </w:r>
    </w:p>
    <w:p>
      <w:r>
        <w:t xml:space="preserve">Pero el acceso es desigual. Casi mil millones de personas aún carecen de electricidad en centros de salud, lo que limita vacunas, cirugías y atención de emergencia. Los combustibles tradicionales para cocinar llenan los hogares de humo, dañando la salud y colocando la carga más pesada en las mujeres y niñas.  </w:t>
      </w:r>
    </w:p>
    <w:p>
      <w:r>
        <w:t xml:space="preserve">Las transiciones energéticas remodelan nuestros recursos. Hoy, el sector utiliza aproximadamente el 10 por ciento del agua dulce global. Para 2050, pasar del carbón a la solar y eólica podría reducir ese porcentaje en un 15 por ciento, además de limpiar el aire en las ciudades congestionadas. La industria de las energías renovables ya soporta más de 16 millones de empleos y continúa creciendo.  </w:t>
      </w:r>
    </w:p>
    <w:p>
      <w:r>
        <w:t xml:space="preserve">La energía también abre oportunidades en la educación. La luz después del anochecer extiende las horas de estudio, mientras que el acceso digital en las escuelas rurales desarrolla habilidades para el futuro. Cocinas más limpias y sistemas solares de agua también liberan tiempo—a menudo de 15 a 18 horas a la semana—brindando a las mujeres y niñas mayores oportunidades.  </w:t>
      </w:r>
    </w:p>
    <w:p>
      <w:r>
        <w:t xml:space="preserve">La eficiencia es igualmente poderosa para la transformación de los sistemas. Redes inteligentes, soluciones de residuos a energía y análisis en tiempo real optimizan recursos, fortalecen la resiliencia y mejoran la seguridad alimentaria y del agua.  </w:t>
      </w:r>
    </w:p>
    <w:p>
      <w:r>
        <w:t xml:space="preserve">En este capítulo, exploraremos estas interconexiones—cómo la energía se conecta con la salud, la educación, la igualdad de género y la acción climática. Y veremos cómo soluciones integradas, como sistemas de agua alimentados por energía solar y iniciativas de cocinas limpias, pueden ofrecer múltiples beneficios a la vez.  </w:t>
      </w:r>
    </w:p>
    <w:p>
      <w:r>
        <w:t>Comencemos y descubramos cómo la energía multiplica el progreso en los Objetivos de Desarrollo Sostenible.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