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3, que explora cómo se está desarrollando la transición energética en todo el mundo—a través del lente de las cinco oficinas regionales del PNUD. Desde los Estados Árabes hasta América Latina y el Caribe, pasando por África, Asia y el Pacífico, y llegando a Europa del Este y Asia Central—cada región enfrenta desafíos únicos, pero también oportunidades inspiradoras para el cambio.  </w:t>
      </w:r>
    </w:p>
    <w:p>
      <w:r>
        <w:t xml:space="preserve">Juntos, analizaremos las tendencias en acceso a la energía, financiamiento y políticas, y veremos cómo los enfoques regionales están moldeando la transformación energética global.  </w:t>
      </w:r>
    </w:p>
    <w:p>
      <w:r>
        <w:t xml:space="preserve">En África, soluciones descentralizadas como mini-redes están en expansión, pero el financiamiento sigue siendo limitado en comparación con el vasto potencial de energías renovables de la región. En Asia y el Pacífico, la inversión en energía limpia ha aumentado, posicionando a la región como un motor principal del crecimiento global de energías renovables—sin embargo, millones aún carecen de electricidad confiable, especialmente en áreas rurales.  </w:t>
      </w:r>
    </w:p>
    <w:p>
      <w:r>
        <w:t xml:space="preserve">Los Estados Árabes están diversificando las fuentes de energía, con una capacidad renovable que crece rápidamente, incluso cuando la asequibilidad y la gobernanza siguen siendo preocupaciones apremiantes. En América Latina y el Caribe, la alta dependencia de la energía hidroeléctrica proporciona una base renovable sólida, pero las brechas en cocinas limpias y acceso equitativo siguen siendo significativas. Y en Europa del Este y Asia Central, los cambios en políticas y los compromisos climáticos están redefiniendo las estrategias energéticas, particularmente en torno a la calefacción y la reducción de emisiones.  </w:t>
      </w:r>
    </w:p>
    <w:p>
      <w:r>
        <w:t xml:space="preserve">Lo que queda claro es que el contexto importa. La expansión solar en el Sahel, la innovación basada en la naturaleza en las Islas del Pacífico, o las reformas de eficiencia en Europa del Este—todos muestran cómo las soluciones locales pueden escalar para tener un impacto global.  </w:t>
      </w:r>
    </w:p>
    <w:p>
      <w:r>
        <w:t>A lo largo de este capítulo, destacaremos estos caminos diversos, y cómo cada región está impulsando un futuro más sostenible y equitativo.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