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En esta lección, miraremos más allá de las ideas — y nos centraremos en la implementación. Explorarás cómo las estrategias inclusivas y adaptativas pueden ayudar a escalar soluciones energéticas sostenibles que funcionen tanto para las personas como para el planeta.  </w:t>
      </w:r>
    </w:p>
    <w:p>
      <w:r>
        <w:t xml:space="preserve">Desde la planificación basada en ecosistemas hasta la educación sobre sostenibilidad y las soluciones basadas en la naturaleza, examinaremos herramientas que permiten a países y comunidades innovar a gran escala — mientras se mantienen arraigados en el contexto local.  </w:t>
      </w:r>
    </w:p>
    <w:p>
      <w:r>
        <w:t xml:space="preserve">También aprenderás cómo el cambio de comportamiento, la financiación y la colaboración entre sectores pueden acelerar la eficiencia energética — especialmente cuando los esfuerzos se adaptan a las necesidades únicas de cada lugar.  </w:t>
      </w:r>
    </w:p>
    <w:p>
      <w:r>
        <w:t>Ya sea un medidor inteligente en un apartamento de la ciudad o un techo verde en una aldea rural, la transformación ocurre a través de la acción colectiva. Exploremos cómo escalarla — de manera sostenible y equitativa.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