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Uno: Introducción al Panorama de la Transición Energética.  </w:t>
      </w:r>
    </w:p>
    <w:p>
      <w:r>
        <w:t xml:space="preserve">Los sistemas energéticos en todo el mundo están experimentando cambios profundos. La urgencia climática y la caída de los costos de las energías renovables han convertido la transición energética en un tema central de las políticas e inversiones globales. La década de 2020 a 2030 es decisiva para limitar el calentamiento a 1.5°C, y las decisiones de hoy moldearán la energía para las generaciones futuras.  </w:t>
      </w:r>
    </w:p>
    <w:p>
      <w:r>
        <w:t xml:space="preserve">El progreso se está acelerando. En 2024, se añadieron más de gigavatios de energía renovable, el mayor aumento anual registrado. La solar y la eólica lideran este crecimiento, respaldadas por avances en almacenamiento y redes. Los combustibles fósiles están cediendo terreno de manera constante a fuentes más limpias.  </w:t>
      </w:r>
    </w:p>
    <w:p>
      <w:r>
        <w:t xml:space="preserve">Una transición justa garantiza que este cambio sea ambientalmente sostenible, socialmente inclusivo y económicamente equitativo. Aborda las desigualdades del pasado apoyando a los trabajadores y comunidades dependientes de los combustibles fósiles, mientras asegura que los beneficios de la energía limpia—empleos, salud, acceso asequible—lleguen a todos, especialmente a quienes han sido históricamente excluidos.  </w:t>
      </w:r>
    </w:p>
    <w:p>
      <w:r>
        <w:t xml:space="preserve">Una gobernanza sólida es fundamental. Más allá de construir infraestructura, las políticas y las instituciones deben anticipar riesgos y compartir las oportunidades de manera equitativa. Esto incluye la capacitación de la fuerza laboral, financiamiento sensible a la deuda para los países en desarrollo y la participación comunitaria en las decisiones.  </w:t>
      </w:r>
    </w:p>
    <w:p>
      <w:r>
        <w:t xml:space="preserve">Los desafíos son mayores en el Sur Global, donde los países deben reducir su dependencia de los combustibles fósiles mientras amplían el acceso a la electricidad y gestionan las presiones sobre la tierra y el agua. Muchos también buscan aprovechar oportunidades en minerales críticos e industrias renovables—objetivos que requieren estrategias ambiciosas y específicas para cada contexto.  </w:t>
      </w:r>
    </w:p>
    <w:p>
      <w:r>
        <w:t>Este capítulo presenta los principales impulsores de la transición energética global, los actores que la configuran y por qué la equidad y la inclusión son ahora fundamentales en la política energética. Establece las bases para explorar las oportunidades y los dilemas de una transición justa.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