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Dos: Garantizando una Transición Justa para Trabajadores y Comunidades.  </w:t>
      </w:r>
    </w:p>
    <w:p>
      <w:r>
        <w:t xml:space="preserve">La transición energética trata de más que infraestructura; afecta derechos, medios de vida y bienestar social. La investigación ha documentado desafíos recurrentes, incluyendo disputas sobre el uso de la tierra, desplazamiento de comunidades y violaciones laborales en las cadenas de suministro de minerales. Abordar estos aspectos requiere salvaguardas legales, una aplicación efectiva y la participación activa de quienes se ven más afectados.  </w:t>
      </w:r>
    </w:p>
    <w:p>
      <w:r>
        <w:t xml:space="preserve">La participación sustenta la legitimidad. El Consentimiento Libre, Previo e Informado garantiza que los pueblos indígenas y las comunidades locales puedan influir en los proyectos desde el principio. En Colombia, el pueblo Wayúu participa a través de plataformas interculturales que respetan la gobernanza tradicional e integran perspectivas de género, reduciendo conflictos y permitiendo que los proyectos de energías renovables avancen en condiciones compartidas.  </w:t>
      </w:r>
    </w:p>
    <w:p>
      <w:r>
        <w:t xml:space="preserve">Los marcos internacionales también son importantes. El Acuerdo de Escazú de 2018, el primer tratado regional en América Latina y el Caribe, establece compromisos vinculantes sobre acceso a la información, participación pública y protección de defensores del medio ambiente. Vincula la gestión ambiental con los derechos civiles y políticos, ofreciendo un modelo para equilibrar los objetivos climáticos con la equidad.  </w:t>
      </w:r>
    </w:p>
    <w:p>
      <w:r>
        <w:t xml:space="preserve">El empleo es otra piedra angular. La Agencia Internacional de Energías Renovables (IRENA) proyecta que la energía renovable podría generar más de 30 millones de empleos para 2030, sin embargo, la mayor parte del crecimiento se concentra en economías avanzadas, dejando atrás a las regiones dependientes de los combustibles fósiles. Se necesitan políticas de capacitación, emprendimiento e inversión dirigida para cerrar esta brecha.  </w:t>
      </w:r>
    </w:p>
    <w:p>
      <w:r>
        <w:t xml:space="preserve">La igualdad de género sigue siendo fundamental. A partir de 2024, las mujeres representan menos de un tercio de la fuerza laboral en energías renovables y están subrepresentadas en cargos de liderazgo. Medidas como becas, mentorías y políticas laborales sensibles al cuidado mejoran la participación y fortalecen el rendimiento organizacional.  </w:t>
      </w:r>
    </w:p>
    <w:p>
      <w:r>
        <w:t xml:space="preserve">Finalmente, la protección social asegura que los hogares vulnerables no queden rezagados. Los subsidios y transferencias monetarias, diseñados con la participación de la comunidad y datos precisos, pueden prevenir la pobreza energética y mantener la estabilidad durante la transición.  </w:t>
      </w:r>
    </w:p>
    <w:p>
      <w:r>
        <w:t>Este capítulo explora estas dimensiones y destaca enfoques prácticos para proteger derechos, ampliar oportunidades y compartir de manera justa los beneficios de la energía limpia.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