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Bienvenido al módulo 4: Financiamiento de la Transición Energética Justa  </w:t>
      </w:r>
    </w:p>
    <w:p>
      <w:r>
        <w:t xml:space="preserve">La inversión global en energía baja en carbono está creciendo rápidamente—más de dos billones de dólares estadounidenses solo en 2024—pero aún está muy por debajo de lo necesario para cumplir con los objetivos climáticos internacionales. Más de la mitad de la población mundial vive en mercados emergentes y economías en desarrollo, pero estas regiones atraen solo una fracción de la inversión en energía limpia. Cerrar esta brecha es esencial para evitar el encadenamiento a los combustibles fósiles, reducir la desigualdad y lograr una transición energética justa.  </w:t>
      </w:r>
    </w:p>
    <w:p>
      <w:r>
        <w:t xml:space="preserve">Este módulo te equipa con los conocimientos y herramientas para entender y moldear el panorama financiero detrás de esa transición. Explorarás cómo los flujos de inversión global, las dinámicas del mercado y las tendencias tecnológicas están transformando las finanzas de energía sostenible—y por qué la bancabilidad, la certeza regulatoria y las cadenas de suministro diversificadas son clave para el éxito. Examinarás cómo la acción del sector público sienta las bases mediante inversiones estratégicas, reformas en subsidios, gestión de riesgos y políticas habilitadoras que atraen capital privado y protegen a los grupos vulnerables.  </w:t>
      </w:r>
    </w:p>
    <w:p>
      <w:r>
        <w:t xml:space="preserve">También analizarás cómo la mitigación de riesgos, las finanzas combinadas y las reformas regulatorias pueden desbloquear billones en capital privado necesario, especialmente en mercados de alto potencial pero desatendidos. Luego, profundizaremos en instrumentos financieros innovadores—bonos verdes y de sostenibilidad, intercambios de deuda por energía, fijación de precios del carbono y herramientas digitales emergentes—que están transformando la forma en que se financian y monitorean los proyectos de energías renovables. Finalmente, destacamos prioridades transversales: construir alianzas efectivas entre gobiernos, inversores e instituciones internacionales, e integrar la inclusión—particularmente la equidad de género—en cada etapa de la inversión para que la transición beneficie a todos.  </w:t>
      </w:r>
    </w:p>
    <w:p>
      <w:r>
        <w:t xml:space="preserve">Juntos, estos elementos ofrecen una visión holística de cómo interactúan las políticas, las finanzas públicas, la inversión privada y la innovación para impulsar soluciones energéticas sostenibles a gran escala. Al finalizar, podrás analizar tendencias globales, evaluar mecanismos de financiamiento y diseñar estrategias que movilicen recursos para un futuro energético bajo en carbono y equitativo.  </w:t>
      </w:r>
    </w:p>
    <w:p>
      <w:r>
        <w:t>¡Comencemos el viaje!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