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Bienvenido al Capítulo 1: Introducción a las Finanzas de Energía Sostenible y la Dinámica del Mercado.  </w:t>
      </w:r>
    </w:p>
    <w:p>
      <w:r>
        <w:t xml:space="preserve">En 2024, la inversión global en la transición energética baja en carbono creció un 11 por ciento, alcanzando un récord de 2.1 billones de dólares estadounidenses. Esto marca una aceleración notable, pero aún está por debajo de los niveles necesarios para cumplir con los objetivos climáticos internacionales. Los mercados emergentes y las economías en desarrollo fuera de China representan solo aproximadamente el 15 por ciento de la inversión mundial en energía limpia, aunque albergan a más de la mitad de la población mundial. África subsahariana, por ejemplo, recibió solo el 2 por ciento de la inversión global en energía limpia entre 2000 y 2024.  </w:t>
      </w:r>
    </w:p>
    <w:p>
      <w:r>
        <w:t xml:space="preserve">Este desequilibrio corre el riesgo de encerrar a regiones de alto potencial en una dependencia continua de los combustibles fósiles, agravando las desigualdades sociales y socavando los objetivos climáticos. Muchos países enfrentan una “triple penalización”: costos de financiamiento y precios de electricidad más altos, una dependencia fuerte de los combustibles fósiles importados y un acceso limitado a tecnología y mano de obra calificada, todo lo cual complica su transición energética.  </w:t>
      </w:r>
    </w:p>
    <w:p>
      <w:r>
        <w:t xml:space="preserve">Al mismo tiempo, los mercados de energías renovables están transformándose rápidamente. Para 2030, se proyecta que casi la mitad de la matriz energética global provenga de fuentes renovables, impulsada por la caída de los costos tecnológicos, políticas inteligentes y modelos de negocio innovadores. Sin embargo, las vulnerabilidades en la cadena de suministro—especialmente la dependencia de unos pocos países para minerales críticos— y los riesgos geopolíticos exigen una diversificación en las fuentes y una gestión responsable de los recursos.  </w:t>
      </w:r>
    </w:p>
    <w:p>
      <w:r>
        <w:t xml:space="preserve">Los avances tecnológicos como el almacenamiento de energía, las redes inteligentes y la digitalización están mejorando la eficiencia, la fiabilidad y la participación del consumidor, remodelando la dinámica del mercado para productores, distribuidores, reguladores e inversores por igual.  </w:t>
      </w:r>
    </w:p>
    <w:p>
      <w:r>
        <w:t xml:space="preserve">Para atraer financiamiento esencial, los proyectos deben ser realmente viables—mostrar flujos de caja predecibles, estructuras financieras sólidas y cumplimiento de estándares técnicos, legales y sociales. Superar los altos costos de capital, la incertidumbre regulatoria y las brechas en infraestructura es fundamental, especialmente en las economías emergentes.  </w:t>
      </w:r>
    </w:p>
    <w:p>
      <w:r>
        <w:t>Comencemos.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