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Bienvenido al Capítulo 2: Sector Público y Finanzas de Energía Sostenible.  </w:t>
      </w:r>
    </w:p>
    <w:p>
      <w:r>
        <w:t xml:space="preserve">En este capítulo exploramos cómo la acción pública sustenta la transición hacia la energía limpia, particularmente en regiones donde el capital privado es escaso. En todo el mundo, los gobiernos y las instituciones financieras públicas no solo financian proyectos, sino que también crean las políticas habilitantes que hacen posible la inversión en energía sostenible.  </w:t>
      </w:r>
    </w:p>
    <w:p>
      <w:r>
        <w:t xml:space="preserve">Un compromiso sólido del sector público es esencial para implementar políticas climáticas ambiciosas, atraer inversión privada y cerrar la enorme brecha de financiamiento. Países como Marruecos ilustran este enfoque: políticas específicas, préstamos concesionales y financiamiento combinado han apoyado grandes complejos solares como Noor Ouarzazate, demostrando cómo los fondos públicos pueden catalizar la participación privada y generar beneficios locales.  </w:t>
      </w:r>
    </w:p>
    <w:p>
      <w:r>
        <w:t xml:space="preserve">Un elemento clave es la reforma regulatoria y fiscal. Eliminar gradualmente los subsidios a los combustibles fósiles—que distorsionan los mercados, agotan los presupuestos públicos y retrasan la adopción de energías renovables—libera recursos para proyectos de energía limpia. Cuando se combina con transferencias de efectivo dirigidas o protección social, la reforma de subsidios puede proteger a los hogares vulnerables mientras redirige el gasto hacia inversiones que avanzan en los objetivos climáticos y de desarrollo.  </w:t>
      </w:r>
    </w:p>
    <w:p>
      <w:r>
        <w:t xml:space="preserve">Otra área esencial es la gestión de riesgos. Los gobiernos y las instituciones de financiamiento para el desarrollo están utilizando cada vez más evaluaciones de riesgos fiscales y pruebas de estrés para identificar vulnerabilidades, anticipar shocks del mercado y fortalecer la gestión de inversiones públicas. Estas herramientas ayudan a garantizar que los proyectos de energía renovable permanezcan financieramente estables y resilientes con el tiempo.  </w:t>
      </w:r>
    </w:p>
    <w:p>
      <w:r>
        <w:t xml:space="preserve">Juntas, estas estrategias—inversión pública estratégica, marcos políticos sólidos y mitigación proactiva de riesgos—son la columna vertebral de las finanzas de energía sostenible. Reducen la incertidumbre, atraen capital privado y aceleran la transición a gran escala necesaria para un futuro justo y bajo en carbono.  </w:t>
      </w:r>
    </w:p>
    <w:p>
      <w:r>
        <w:t>Acompáñenos mientras desglosamos estos palancas y mostramos cómo las finanzas públicas pueden convertir la ambición en acción.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