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Bienvenido al Módulo 6: Explorando el Nexo Energía–Clima  </w:t>
      </w:r>
    </w:p>
    <w:p>
      <w:r>
        <w:t xml:space="preserve">La energía es la fuente única más grande de emisiones globales de gases de efecto invernadero, pero también contiene la clave para las soluciones climáticas. Este módulo adopta una visión holística de cómo los sistemas energéticos impulsan las emisiones, los caminos para reducirlas y las estrategias para adaptarse a los impactos del clima mientras se protege la equidad y la resiliencia.  </w:t>
      </w:r>
    </w:p>
    <w:p>
      <w:r>
        <w:t xml:space="preserve">Comenzamos mapeando toda la cadena energética—producción, distribución y uso—para revelar dónde surgen las emisiones y dónde existen las mayores oportunidades de reducción. Examinamos la generación de energía, el transporte, la industria, los edificios y el uso del suelo, mostrando cómo la dependencia arraigada de los combustibles fósiles, los activos de larga duración y los subsidios crean un bloqueo de carbono y por qué una transición justa con protecciones sociales es esencial.  </w:t>
      </w:r>
    </w:p>
    <w:p>
      <w:r>
        <w:t xml:space="preserve">Basándonos en esta base, exploramos cómo se puede lograr la descarbonización en toda la economía. Destacamos la electrificación, los combustibles bajos en carbono y los cambios en los procesos en sectores difíciles de abatir; resaltamos innovaciones como el hidrógeno verde, el almacenamiento a gran escala y las soluciones digitales; y explicamos cómo la eficiencia energética y una demanda más inteligente pueden ofrecer recortes inmediatos de emisiones, reducir costos y aliviar la presión sobre la infraestructura.  </w:t>
      </w:r>
    </w:p>
    <w:p>
      <w:r>
        <w:t xml:space="preserve">Finalmente, abordamos los impactos climáticos ya en marcha. Analizamos cómo el calor extremo, las inundaciones, las tormentas, la subida del nivel del mar y la sequía amenazan el acceso y la fiabilidad de la energía, y presentamos estrategias para infraestructuras resilientes al clima, sistemas energéticos diversificados y descentralizados, e integración del riesgo climático en la planificación y la financiación. A lo largo del texto, enfatizamos políticas coherentes, financiamiento coordinado y gobernanza inclusiva para garantizar que las medidas de resiliencia protejan a los más vulnerables mientras refuerzan los objetivos de desarrollo y descarbonización.  </w:t>
      </w:r>
    </w:p>
    <w:p>
      <w:r>
        <w:t>En conjunto, estos elementos te capacitan para comprender el panorama completo de la energía, la mitigación, la innovación y la adaptación—y para aplicar enfoques integrados que conduzcan a un futuro neutro en emisiones y resiliente al clima.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