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4 : Approches, méthodes et outils pour l'innovation stratégique.  </w:t>
      </w:r>
    </w:p>
    <w:p>
      <w:r>
        <w:t xml:space="preserve">Comment transformer des visions audacieuses de la transition énergétique en résultats concrets ?  </w:t>
      </w:r>
    </w:p>
    <w:p>
      <w:r>
        <w:t xml:space="preserve">La réponse réside dans les approches et les outils que nous choisissons.  </w:t>
      </w:r>
    </w:p>
    <w:p>
      <w:r>
        <w:t xml:space="preserve">Dans ce chapitre, nous explorerons quatre façons puissantes de travailler qui peuvent rendre la transition plus inclusive, équitable et efficace.  </w:t>
      </w:r>
    </w:p>
    <w:p>
      <w:r>
        <w:t xml:space="preserve">L’approche globale de la société rassemble tout le monde autour de la table — gouvernements, communautés et secteur privé. En travaillant ensemble, les politiques deviennent plus inclusives, les partenariats plus solides et les résultats plus durables.  </w:t>
      </w:r>
    </w:p>
    <w:p>
      <w:r>
        <w:t xml:space="preserve">Une approche basée sur les droits humains recontextualise l’énergie comme plus qu’un simple accès — c’est un droit fondamental. Cela garantit que la dignité, l’équité et l’inclusion sociale restent au cœur de chaque initiative.  </w:t>
      </w:r>
    </w:p>
    <w:p>
      <w:r>
        <w:t xml:space="preserve">L’intégration de la dimension de genre nous rappelle que les femmes et les groupes marginalisés rencontrent souvent les plus grands obstacles à l’accès à l’énergie. En plaçant le genre au centre de la conception des projets, nous pouvons débloquer des opportunités et créer des systèmes plus équitables pour tous.  </w:t>
      </w:r>
    </w:p>
    <w:p>
      <w:r>
        <w:t xml:space="preserve">Et l’approche intersectionnelle va encore plus loin, en montrant comment le revenu, la géographie, la race et d’autres facteurs se chevauchent pour façonner l’accès à l’énergie. Cette perspective aide à adapter les solutions aux réalités de la vie des gens.  </w:t>
      </w:r>
    </w:p>
    <w:p>
      <w:r>
        <w:t xml:space="preserve">Ensemble, ces approches transforment les projets. Elles nous guident pour équilibrer l’accessibilité avec la suffisance, gérer l’utilisation des terres entre alimentation et énergies renouvelables, et réduire l’empreinte environnementale là où les communautés sont les plus vulnérables.  </w:t>
      </w:r>
    </w:p>
    <w:p>
      <w:r>
        <w:t xml:space="preserve">En appliquant ces stratégies, nous pouvons accélérer la transition énergétique mondiale — et garantir qu’elle offre non seulement une énergie propre, mais aussi justice, équité et opportunités.  </w:t>
      </w:r>
    </w:p>
    <w:p>
      <w:r>
        <w:t>Commençons, et découvrons comment ces approches transformatrices peuvent transformer des idées en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