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Dans cette leçon, nous irons au-delà des idées — et nous concentrerons sur la mise en œuvre. Vous découvrirez comment des stratégies inclusives et adaptatives peuvent aider à déployer des solutions énergétiques durables qui profitent à la fois aux personnes et à la planète.  </w:t>
      </w:r>
    </w:p>
    <w:p>
      <w:r>
        <w:t xml:space="preserve">De la planification basée sur les écosystèmes à l’éducation à la durabilité en passant par les solutions fondées sur la nature, nous examinerons des outils permettant aux pays et aux communautés d’innover à grande échelle — tout en restant ancrés dans le contexte local.  </w:t>
      </w:r>
    </w:p>
    <w:p>
      <w:r>
        <w:t xml:space="preserve">Vous apprendrez également comment le changement de comportement, le financement et la collaboration entre secteurs peuvent accélérer l’efficacité énergétique — surtout lorsque les efforts sont adaptés aux besoins spécifiques de chaque lieu.  </w:t>
      </w:r>
    </w:p>
    <w:p>
      <w:r>
        <w:t>Que ce soit un compteur intelligent dans un appartement en ville ou un toit vert dans un village rural, la transformation se produit par l’action collective. Explorons comment l’amplifier — de manière durable et équitable.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