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3 : Combler le fossé de l'accès à l'énergie.  </w:t>
      </w:r>
    </w:p>
    <w:p>
      <w:r>
        <w:t xml:space="preserve">Dans ce chapitre, nous discuterons des actions spécifiques qui peuvent nous aider à construire des systèmes énergétiques axés sur le bien-être, la durabilité et la justice. Nous aborderons également comment les innovations, les politiques, les partenariats et les approches communautaires peuvent nous y conduire.  </w:t>
      </w:r>
    </w:p>
    <w:p>
      <w:r>
        <w:t xml:space="preserve">Nous examinerons comment une approche intersectionnelle—en tenant compte du genre, de l'ethnie, du statut socioéconomique et de la géographie—peut transformer les politiques énergétiques pour qu'elles soient plus inclusives. Par exemple, l'utilisation de données disaggregées et l'engagement ciblé des communautés peuvent considérablement améliorer l'accès pour les groupes marginalisés.  </w:t>
      </w:r>
    </w:p>
    <w:p>
      <w:r>
        <w:t xml:space="preserve">Nous nous concentrerons également sur des solutions technologiques, telles que les mini-réseaux solaires. Les mini-réseaux solaires pourraient fournir une électricité de haute qualité et ininterrompue à près d'un demi-milliard de personnes dans des communautés non connectées ou mal desservies d'ici 2030.  </w:t>
      </w:r>
    </w:p>
    <w:p>
      <w:r>
        <w:t xml:space="preserve">Ensuite, nous discuterons de la manière dont les mécanismes de financement—comme les modèles de paiement à l'usage et le microfinancement—peuvent contribuer à rendre les services énergétiques accessibles aux ménages à faible revenu, aux agriculteurs et aux entrepreneurs.  </w:t>
      </w:r>
    </w:p>
    <w:p>
      <w:r>
        <w:t xml:space="preserve">Des cadres politiques efficaces—par le biais de réformes réglementaires, de subventions ciblées et d'incitations fiscales—sont également essentiels. Par exemple, des pays comme le Brésil ont réussi à étendre l'accès grâce à des filets de sécurité énergétique et à d'autres politiques sociales.  </w:t>
      </w:r>
    </w:p>
    <w:p>
      <w:r>
        <w:t xml:space="preserve">Enfin, nous explorerons comment les outils numériques et l'intelligence artificielle révolutionnent la planification, la gestion et l'optimisation des systèmes énergétiques. Les plateformes de données géospatiales permettent de cibler précisément les zones mal desservies, tandis que la gestion assistée par l'IA améliore la résilience et l'efficacité du système.  </w:t>
      </w:r>
    </w:p>
    <w:p>
      <w:r>
        <w:t>En résumé, combler le fossé de l'accès à l'énergie nécessite des stratégies intégrées—allant de la technologie, des politiques inclusives, du financement innovant et des solutions numériques—qui se concentrent sur l'atteinte des plus vulnérables. Ce chapitre vous guidera à travers ces opportunités, illustrant comment des efforts coordonnés peuvent transformer l'ambition en action et ne laisser personne de côté.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