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Un : Introduction au paysage de la transition énergétique.  </w:t>
      </w:r>
    </w:p>
    <w:p>
      <w:r>
        <w:t xml:space="preserve">Les systèmes énergétiques mondiaux subissent des changements profonds. L’urgence climatique et la baisse des coûts des renouvelables ont placé la transition énergétique au cœur des politiques et des investissements mondiaux. La décennie 2020-2030 est décisive pour limiter le réchauffement à 1,5°C, et les choix d’aujourd’hui façonnent l’énergie pour les générations futures.  </w:t>
      </w:r>
    </w:p>
    <w:p>
      <w:r>
        <w:t xml:space="preserve">Les progrès s’accélèrent. En 2024, plus de gigawatts d’énergie renouvelable ont été ajoutés — la plus forte augmentation annuelle jamais enregistrée. Le solaire et l’éolien mènent cette croissance, soutenus par des avancées dans le stockage et les réseaux. Les combustibles fossiles cèdent progressivement la place à des sources plus propres.  </w:t>
      </w:r>
    </w:p>
    <w:p>
      <w:r>
        <w:t xml:space="preserve">Une transition juste garantit que ce changement soit respectueux de l’environnement, socialement inclusif et économiquement équitable. Elle répond aux inégalités passées en soutenant les travailleurs et les communautés dépendants des combustibles fossiles, tout en veillant à ce que les bénéfices de l’énergie propre — emplois, santé, accès abordable — atteignent tous, en particulier ceux qui ont été laissés pour compte.  </w:t>
      </w:r>
    </w:p>
    <w:p>
      <w:r>
        <w:t xml:space="preserve">Une gouvernance forte est essentielle. Au-delà de la construction d’infrastructures, les politiques et les institutions doivent anticiper les risques et partager équitablement les opportunités. Cela inclut la formation de la main-d’œuvre, le financement sensible à la dette pour les pays en développement, et la participation des communautés aux décisions.  </w:t>
      </w:r>
    </w:p>
    <w:p>
      <w:r>
        <w:t xml:space="preserve">Les défis sont plus grands dans le Sud global, où les pays doivent réduire leur dépendance aux fossiles tout en élargissant l’accès à l’électricité et en gérant la pression sur les terres et l’eau. Beaucoup visent également à saisir les opportunités dans les minéraux critiques et les industries renouvelables — des objectifs qui nécessitent des stratégies ambitieuses et adaptées au contexte.  </w:t>
      </w:r>
    </w:p>
    <w:p>
      <w:r>
        <w:t>Ce chapitre présente les principaux moteurs de la transition énergétique mondiale, les acteurs qui la façonnent, et explique pourquoi l’équité et l’inclusion sont désormais au cœur des politiques énergétiques. Il pose les bases pour explorer les opportunités et les compromis d’une transition juste.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