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3 : Un JET qui préserve la nature et stimule la croissance économique.  </w:t>
      </w:r>
    </w:p>
    <w:p>
      <w:r>
        <w:t xml:space="preserve">Une transition juste vers les énergies renouvelables peut faire plus que réduire les émissions — elle peut favoriser le développement durable et la croissance économique, en particulier dans les nations riches en ressources.  </w:t>
      </w:r>
    </w:p>
    <w:p>
      <w:r>
        <w:t xml:space="preserve">La demande de minéraux critiques comme le lithium, le cobalt et les éléments de terres rares est en forte hausse. Les investissements mondiaux dans leur développement ont augmenté de 30 % en 2022 et de 10 % en 2023, alimentés par des technologies renouvelables telles que les batteries, les éoliennes et les panneaux solaires. Pour les pays riches en ressources, cela offre d’importantes opportunités économiques — mais aussi des risques. L’extraction est fortement concentrée dans certaines régions, avec plus de la moitié sur des terres autochtones, ce qui soulève des préoccupations concernant les dommages environnementaux et les impacts sociaux. Des normes strictes, la responsabilisation et la coopération internationale sont essentielles.  </w:t>
      </w:r>
    </w:p>
    <w:p>
      <w:r>
        <w:t xml:space="preserve">La collaboration régionale peut également aider. En mutualisant les ressources et en développant des industries locales, les pays peuvent aller au-delà de l’exportation pour se concentrer sur des secteurs à valeur ajoutée comme la transformation et la fabrication de batteries. Le Maroc et l’Égypte, par exemple, se positionnent comme des hubs pour la fabrication de renouvelables.  </w:t>
      </w:r>
    </w:p>
    <w:p>
      <w:r>
        <w:t xml:space="preserve">Parallèlement, les énergies renouvelables posent des défis environnementaux. L’éolien et le solaire émettent jusqu’à 90 % de gaz à effet de serre en moins que les combustibles fossiles sur l’ensemble de leur cycle de vie, mais les parcs éoliens peuvent perturber la migration des oiseaux, la production de panneaux solaires utilise des matériaux dangereux, et le recyclage reste limité. Les grands projets hydroélectriques, bien qu’émettant peu de gaz à effet de serre, peuvent nuire aux écosystèmes fluviaux s’ils ne sont pas gérés avec soin.  </w:t>
      </w:r>
    </w:p>
    <w:p>
      <w:r>
        <w:t>Une approche globale est nécessaire — une qui maximise les bénéfices climatiques des renouvelables tout en minimisant les dommages écologiques involontaires. En faisant progresser la chaîne de valeur et en investissant dans les industries en aval, les nations en développement peuvent créer des emplois, réduire les coûts et bâtir des économies plus résilientes.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