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Intensifier l’investissement du secteur privé dans l’énergie durable.  </w:t>
      </w:r>
    </w:p>
    <w:p>
      <w:r>
        <w:t xml:space="preserve">Dans ce chapitre, nous nous concentrons sur la manière de mobiliser le capital essentiel pour accélérer la transition énergétique mondiale. D’ici 2030, il est estimé que plus de quatre mille milliards de dollars par an seront nécessaires pour atteindre les objectifs mondiaux en matière d’énergie propre. Le financement public seul ne peut combler cet énorme déficit de financement. Au contraire, il faut augmenter considérablement l’investissement du secteur privé pour débloquer les innovations, le déploiement et la réduction des coûts indispensables à un avenir énergétique durable.  </w:t>
      </w:r>
    </w:p>
    <w:p>
      <w:r>
        <w:t xml:space="preserve">Malgré ce besoin évident, l’investissement privé dans les énergies renouvelables reste inégal selon les régions. Alors que les investissements mondiaux augmentent, les pays en développement — malgré leur fort potentiel en renouvelables et leurs besoins urgents en accès à l’énergie — attirent moins de 15 % de l’ensemble des investissements dans l’énergie propre en 2023. Cette disparité met en lumière les obstacles auxquels ces régions sont confrontées : risques financiers élevés, marchés sous-développés, incertitudes réglementaires et lacunes infrastructurelles contribuent tous à limiter la participation du secteur privé.  </w:t>
      </w:r>
    </w:p>
    <w:p>
      <w:r>
        <w:t xml:space="preserve">Pour relever ces défis, des solutions ciblées sont cruciales. Les stratégies de mitigation des risques — telles que les garanties, l’assurance et la titrisation — peuvent réduire la perception des risques d’investissement. Par exemple, au Kazakhstan, des réformes politiques et la dé-risqueisation financière ont permis de débloquer des capitaux privés pour des projets renouvelables, montrant comment des interventions efficaces peuvent créer un environnement d’investissement plus attractif.  </w:t>
      </w:r>
    </w:p>
    <w:p>
      <w:r>
        <w:t xml:space="preserve">Une autre approche clé est la finance mixte, qui combine des fonds publics concessionnels avec du capital privé. En utilisant les ressources publiques pour réduire les risques des projets, la finance mixte rend les projets d’énergie propre à fort impact plus attractifs pour les investisseurs privés. Au Kenya, la finance mixte a réussi à mobiliser des fonds privés pour des initiatives solaires et éoliennes, illustrant son potentiel dans les marchés en développement.  </w:t>
      </w:r>
    </w:p>
    <w:p>
      <w:r>
        <w:t xml:space="preserve">En résumé, pour atteindre l’objectif mondial d’investissement dans l’énergie propre de plus de quatre mille milliards de dollars par an d’ici 2030, la mobilisation du capital privé est indispensable. Surmonter les obstacles par la mitigation des risques, des stratégies de financement innovantes et des réformes politiques sera essentiel pour débloquer les investissements nécessaires à un avenir énergétique durable.  </w:t>
      </w:r>
    </w:p>
    <w:p>
      <w:r>
        <w:t>Maintenant, explorons ces stratégies plus en détail dans les prochaines leçons.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