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Bienvenue au chapitre 4 : Instruments financiers innovants pour l'énergie renouvelable  </w:t>
      </w:r>
    </w:p>
    <w:p>
      <w:r>
        <w:t xml:space="preserve">Le financement de la transition énergétique exige des mécanismes capables de mobiliser des centaines de milliards chaque année. Les instruments innovants transforment la manière dont le capital circule vers l'énergie durable.  </w:t>
      </w:r>
    </w:p>
    <w:p>
      <w:r>
        <w:t xml:space="preserve">Les obligations thématiques — vertes, sociales et de durabilité — orientent les fonds vers des projets avec des résultats mesurables. L’émission mondiale d’obligations vertes a dépassé 500 milliards de dollars en 2022, avec des cadres comme les Principes pour les obligations vertes assurant transparence et confiance des investisseurs.  </w:t>
      </w:r>
    </w:p>
    <w:p>
      <w:r>
        <w:t xml:space="preserve">Les mécanismes de tarification du carbone — systèmes de commerce des émissions et taxes carbone — créent des incitations à réduire les émissions. Leur succès dépend d’une conception efficace, d’une vérification rigoureuse et de garanties contre le greenwashing.  </w:t>
      </w:r>
    </w:p>
    <w:p>
      <w:r>
        <w:t xml:space="preserve">Les technologies numériques apportent un nouvel élan. La blockchain améliore la transparence et permet le commerce d’énergie peer-to-peer, tandis que l’analyse pilotée par l’IA améliore l’évaluation des risques et élargit l’accès aux investissements verts.  </w:t>
      </w:r>
    </w:p>
    <w:p>
      <w:r>
        <w:t xml:space="preserve">Les échanges de dette contre énergie ont le potentiel de réduire la charge de la dette tout en finançant les renouvelables. Ces arrangements nécessitent une gouvernance solide et un soutien multilatéral pour surmonter les obstacles réglementaires et transactionnels.  </w:t>
      </w:r>
    </w:p>
    <w:p>
      <w:r>
        <w:t>Ensemble, ces outils peuvent mobiliser des trillions, renforcer la confiance et accélérer la transition vers une économie bas carbone. Ce chapitre examine leur potentiel, leurs défis et les stratégies pour maximiser leur impact.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