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Tendances et projections futures.  </w:t>
      </w:r>
    </w:p>
    <w:p>
      <w:r>
        <w:t xml:space="preserve">Nous sommes à un moment clé dans le secteur de l'énergie, avec des changements rapides qui transforment à la fois la demande et l'offre.  </w:t>
      </w:r>
    </w:p>
    <w:p>
      <w:r>
        <w:t xml:space="preserve">Du côté de la demande, la consommation mondiale d'énergie augmente, stimulée par la croissance démographique, l'urbanisation et le développement économique. D'ici 2050, l'ONU prévoit que 68 % des personnes vivront en ville, ce qui intensifiera la demande d'électricité. La digitalisation et l'intelligence artificielle permettent des réseaux plus intelligents mais ajoutent également de nouvelles sources de demande. En 2024, les centres de données ont consommé 415 térawattheures d'électricité — 1,5 % de la consommation mondiale — et cela devrait plus que doubler d'ici 2030, dépassant la consommation actuelle du Japon. Des mesures d'efficacité renforcées pourraient réduire d’un tiers la croissance projetée de la demande, diminuant ainsi les coûts et les émissions. Par ailleurs, le changement climatique oblige à repenser la résilience énergétique.  </w:t>
      </w:r>
    </w:p>
    <w:p>
      <w:r>
        <w:t xml:space="preserve">Du côté de l’offre, les énergies renouvelables se développent à une vitesse record. En 2020, le monde a ajouté 260 gigawatts de capacité, dont 91 % issus du solaire et de l’éolien. À l’avenir, les renouvelables devraient représenter la plus grande part de la nouvelle demande, tandis que le gaz naturel et le nucléaire resteront importants pour équilibrer les réseaux lorsque la production solaire et éolienne baisse.  </w:t>
      </w:r>
    </w:p>
    <w:p>
      <w:r>
        <w:t xml:space="preserve">Alors que l’électricité devient le principal vecteur énergétique d’ici 2050, les foyers, les industries et l’infrastructure numérique alimenteront tous la consommation. La digitalisation, bien que gourmande en énergie, offre également des outils puissants pour améliorer l’efficacité.  </w:t>
      </w:r>
    </w:p>
    <w:p>
      <w:r>
        <w:t>Les tendances sont claires : l’avenir de l’énergie nécessite une politique coordonnée, une innovation technologique et une coopération internationale. Restez avec nous pour explorer les défis et les voies vers un système énergétique plus propre et plus intelligent.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