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2 : Créer un environnement favorable à une transition énergétique axée sur l'innovation.  </w:t>
      </w:r>
    </w:p>
    <w:p>
      <w:r>
        <w:t xml:space="preserve">Stimuler l'innovation dans l'énergie nécessite les bonnes conditions : des politiques efficaces, des secteurs émergents et des cadres inclusifs qui rendent la transition propre, résiliente et équitable.  </w:t>
      </w:r>
    </w:p>
    <w:p>
      <w:r>
        <w:t xml:space="preserve">Les mécanismes politiques et de marché sont au cœur de cette démarche. Des outils bien conçus — tels que la tarification du carbone, le commerce des émissions et les incitations ciblées — aident à surmonter les obstacles, à attirer des capitaux privés et à stimuler l'innovation tout au long du cycle de vie des technologies. Un équilibre stratégique entre les mesures de « poussée technologique », comme les subventions ou crédits d'impôt, et les mesures de « tirage par le marché », telles que les normes et la passation de marchés, garantit des progrès tout en s’adaptant au contexte de chaque pays.  </w:t>
      </w:r>
    </w:p>
    <w:p>
      <w:r>
        <w:t xml:space="preserve">Les secteurs émergents redéfinissent les possibilités. Les solutions décentralisées comme l’énergie solaire communautaire et les micro-réseaux se développent rapidement — avec une croissance de plus de 20 % des installations communautaires en 2023 — améliorant à la fois l’accès et la résilience. Les nouvelles technologies, notamment le trading d’énergie peer-to-peer, les plateformes blockchain, les cellules solaires de nouvelle génération et l’énergie océanique, offrent un potentiel particulier. Pour les petits États insulaires et côtiers, des innovations telles que l’énergie marémotrice et solaire flottante peuvent diversifier le mix énergétique, renforcer la résilience et s’aligner sur les objectifs de l’économie bleue — si elles sont soutenues par des politiques ciblées et des investissements.  </w:t>
      </w:r>
    </w:p>
    <w:p>
      <w:r>
        <w:t xml:space="preserve">Tout aussi importantes sont les modèles de propriété locale. Les coopératives énergétiques donnent aux communautés les moyens de mutualiser leurs ressources, d’investir dans des projets renouvelables communs et de mieux contrôler leur approvisionnement en énergie. Ces modèles démocratisent l’accès, créent des emplois locaux et maintiennent les revenus au sein des communautés, tout en renforçant la résilience à long terme dans les zones rurales et mal desservies.  </w:t>
      </w:r>
    </w:p>
    <w:p>
      <w:r>
        <w:t xml:space="preserve">Enfin, l’inclusion est essentielle. Les approches intégrant les perspectives de genre, socioéconomiques et locales garantissent que les transitions profitent aux plus vulnérables. Des études de cas en Eswatini montrent comment des politiques co-conçues et équitables peuvent générer des résultats plus durables et justes.  </w:t>
      </w:r>
    </w:p>
    <w:p>
      <w:r>
        <w:t>En résumé, créer un environnement favorable consiste à intégrer une gouvernance intelligente, des technologies émergentes et des cadres inclusifs. Ensemble, ces éléments accélèrent l’innovation et garantissent que la transition énergétique soit non seulement rapide, mais aussi équitable et durable.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