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La théorie de la réduction des risques.  </w:t>
      </w:r>
    </w:p>
    <w:p>
      <w:r>
        <w:t xml:space="preserve">Investir dans les énergies renouvelables dans les pays en développement ne consiste pas seulement à déployer de nouvelles technologies — il s’agit de comprendre et de gérer les risques. Dans ce chapitre, nous explorons comment les risques sont définis, perçus et évalués par les investisseurs et les prêteurs, et pourquoi ces risques rendent souvent le financement des projets d’énergie renouvelable plus coûteux sur les marchés émergents.  </w:t>
      </w:r>
    </w:p>
    <w:p>
      <w:r>
        <w:t xml:space="preserve">Vous découvrirez les différents types de risques pouvant affecter l’investissement dans les énergies renouvelables, allant de l’incertitude politique et réglementaire aux fluctuations monétaires et aux défis spécifiques aux projets. Nous examinerons comment ces risques influencent les décisions d’investissement, impactent le coût du capital, et déterminent en fin de compte si les projets avancent ou stagnent.  </w:t>
      </w:r>
    </w:p>
    <w:p>
      <w:r>
        <w:t xml:space="preserve">Mais le risque n’est pas seulement un obstacle — c’est aussi un levier d’action. Ce chapitre présente la théorie du changement qui sous-tend une réduction efficace des risques, montrant comment des interventions ciblées publiques et privées peuvent réduire le risque, diminuer les coûts de financement et débloquer de nouveaux investissements. Nous étudierons les stratégies que les gouvernements, les partenaires de développement et les investisseurs utilisent pour surmonter ces barrières, et comment la réduction des risques peut transformer le paysage de l’investissement dans l’énergie propre.  </w:t>
      </w:r>
    </w:p>
    <w:p>
      <w:r>
        <w:t>À la fin de ce chapitre, vous disposerez d’une base solide sur les concepts et la logique qui animent l’approche DREI, vous préparant à voir comment ces idées sont mises en pratique dans le chapitre suivant.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