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à sua primeira aula da Academia de Energia Sustentável.  </w:t>
      </w:r>
    </w:p>
    <w:p>
      <w:r>
        <w:t xml:space="preserve">Como você sabe, a energia é tanto um motor de progresso quanto uma ameaça crescente ao planeta. Ela alimenta hospitais, escolas e economias — mas a forma como a produzimos e consumimos, principalmente por meio de combustíveis fósseis, está alimentando a crise climática.  </w:t>
      </w:r>
    </w:p>
    <w:p>
      <w:r>
        <w:t xml:space="preserve">Em 2023, cerca de 666 milhões de pessoas no mundo ainda vivem sem eletricidade. No mesmo ano, aproximadamente 2,1 bilhões de pessoas não tinham acesso a soluções de cozinha limpa.  </w:t>
      </w:r>
    </w:p>
    <w:p>
      <w:r>
        <w:t xml:space="preserve">Enquanto isso, os combustíveis fósseis continuam sendo a principal fonte de energia global. Embora as energias renováveis estejam se expandindo rapidamente, o consumo de combustíveis fósseis continua a aumentar.  </w:t>
      </w:r>
    </w:p>
    <w:p>
      <w:r>
        <w:t xml:space="preserve">Este é o paradoxo: como podemos expandir o acesso à energia para tirar bilhões da pobreza — sem comprometer os próprios sistemas que sustentam a vida na Terra?  </w:t>
      </w:r>
    </w:p>
    <w:p>
      <w:r>
        <w:t xml:space="preserve">Nesta lição, exploraremos essas contradições e faremos as perguntas difíceis: Por que o Sul Global, rico em recursos renováveis, recebe tão pouco investimento em energia limpa? Podemos equilibrar a ação climática com os direitos de desenvolvimento?  </w:t>
      </w:r>
    </w:p>
    <w:p>
      <w:r>
        <w:t xml:space="preserve">A transição está em andamento. Até 2024, o investimento global em tecnologias de energia limpa — desde renováveis e armazenamento até redes e eletrificação — atingiu cerca de 2,1 trilhões de dólares americanos, mais do que o dobro do valor investido em combustíveis fósseis. Na última década, o custo da energia solar caiu mais de 80%, tornando-se a fonte de eletricidade mais barata em muitos países.  </w:t>
      </w:r>
    </w:p>
    <w:p>
      <w:r>
        <w:t xml:space="preserve">Mas essa transição é rápida o suficiente — e ela é justa?  </w:t>
      </w:r>
    </w:p>
    <w:p>
      <w:r>
        <w:t>Vamos analisar os dilemas que moldam o futuro da humanidade — e explorar o que é necessário para criar uma transição energética que seja justa, inclusiva e transformadora.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