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2: Interconexões entre Energia e Outros Objetivos de Desenvolvimento Sustentável.  </w:t>
      </w:r>
    </w:p>
    <w:p>
      <w:r>
        <w:t xml:space="preserve">A energia é mais do que uma única meta — é o fio que impulsiona o progresso em todas elas. De escolas e hospitais a água limpa, alimentação e empregos, a energia moderna confiável transforma vidas.  </w:t>
      </w:r>
    </w:p>
    <w:p>
      <w:r>
        <w:t xml:space="preserve">Mas o acesso é desigual. Quase um bilhão de pessoas ainda não têm eletricidade em unidades de saúde, limitando vacinas, cirurgias e cuidados de emergência. Combustíveis tradicionais para cozinhar enchem as casas de fumaça, prejudicando a saúde e colocando o peso maior sobre mulheres e meninas.  </w:t>
      </w:r>
    </w:p>
    <w:p>
      <w:r>
        <w:t xml:space="preserve">As transições energéticas remodelam nossos recursos. Hoje, o setor utiliza cerca de 10 por cento da água doce global. Até 2050, a mudança de carvão para solar e eólica pode reduzir esse consumo em 15 por cento, além de melhorar a qualidade do ar em cidades superlotadas. A indústria de energias renováveis já apoia mais de 16 milhões de empregos e continua a crescer.  </w:t>
      </w:r>
    </w:p>
    <w:p>
      <w:r>
        <w:t xml:space="preserve">A energia também desbloqueia oportunidades na educação. A luz após o anoitecer amplia as horas de estudo, enquanto o acesso digital em escolas rurais desenvolve habilidades para o futuro. Cozinhar de forma mais limpa e sistemas de água solar também liberam tempo — muitas vezes de 15 a 18 horas por semana — oferecendo às mulheres e meninas mais oportunidades.  </w:t>
      </w:r>
    </w:p>
    <w:p>
      <w:r>
        <w:t xml:space="preserve">A eficiência é igualmente poderosa para a transformação dos sistemas. Redes inteligentes, soluções de resíduos para energia e análises em tempo real otimizam recursos, fortalecem a resiliência e melhoram a segurança alimentar e hídrica.  </w:t>
      </w:r>
    </w:p>
    <w:p>
      <w:r>
        <w:t xml:space="preserve">Neste capítulo, exploraremos essas interconexões — como a energia conecta-se à saúde, educação, igualdade de gênero e ação climática. E veremos como soluções integradas, como sistemas de água movidos a energia solar e iniciativas de cozinhar de forma limpa, podem oferecer múltiplos benefícios ao mesmo tempo.  </w:t>
      </w:r>
    </w:p>
    <w:p>
      <w:r>
        <w:t>Vamos começar e descobrir como a energia multiplica o progresso em todos os Objetivos de Desenvolvimento Sustentável.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