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Nesta lição, vamos além das ideias — e focar na implementação. Você explorará como estratégias inclusivas e adaptativas podem ajudar a ampliar soluções de energia sustentável que funcionem para as pessoas e o planeta ao mesmo tempo.  </w:t>
      </w:r>
    </w:p>
    <w:p>
      <w:r>
        <w:t xml:space="preserve">Desde o planejamento baseado em ecossistemas até a educação para a sustentabilidade e soluções baseadas na natureza, examinaremos ferramentas que permitem que países e comunidades inovem em grande escala — mantendo-se enraizados no contexto local.  </w:t>
      </w:r>
    </w:p>
    <w:p>
      <w:r>
        <w:t xml:space="preserve">Você também aprenderá como a mudança de comportamento, o financiamento e a colaboração entre setores podem acelerar a eficiência energética — especialmente quando os esforços são adaptados às necessidades únicas de cada lugar.  </w:t>
      </w:r>
    </w:p>
    <w:p>
      <w:r>
        <w:t>Seja um medidor inteligente em um apartamento na cidade ou um telhado verde em uma vila rural, a transformação acontece por meio de ação coletiva. Vamos explorar como ampliá-la — de forma sustentável e equitativa.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